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322C" w14:textId="77777777" w:rsidR="00EC5402" w:rsidRDefault="00EC5402" w:rsidP="003A6470">
      <w:pPr>
        <w:pStyle w:val="Sansinterligne"/>
      </w:pPr>
    </w:p>
    <w:p w14:paraId="1F6B97DB" w14:textId="77777777" w:rsidR="00EC5402" w:rsidRPr="00EC5402" w:rsidRDefault="00EC5402" w:rsidP="00EC5402">
      <w:pPr>
        <w:rPr>
          <w:b/>
          <w:color w:val="0F243E" w:themeColor="text2" w:themeShade="80"/>
          <w:sz w:val="28"/>
          <w:szCs w:val="28"/>
        </w:rPr>
      </w:pPr>
      <w:r w:rsidRPr="00EC5402">
        <w:rPr>
          <w:b/>
          <w:noProof/>
          <w:lang w:eastAsia="fr-FR"/>
        </w:rPr>
        <w:drawing>
          <wp:inline distT="0" distB="0" distL="0" distR="0" wp14:anchorId="21DB0405" wp14:editId="6A36063C">
            <wp:extent cx="1710055" cy="922655"/>
            <wp:effectExtent l="0" t="0" r="4445" b="0"/>
            <wp:docPr id="1" name="Image 1" descr="cid:image003.jpg@01D42FE4.61217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2FE4.61217A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10055" cy="922655"/>
                    </a:xfrm>
                    <a:prstGeom prst="rect">
                      <a:avLst/>
                    </a:prstGeom>
                    <a:noFill/>
                    <a:ln>
                      <a:noFill/>
                    </a:ln>
                  </pic:spPr>
                </pic:pic>
              </a:graphicData>
            </a:graphic>
          </wp:inline>
        </w:drawing>
      </w:r>
    </w:p>
    <w:p w14:paraId="7DAD662D" w14:textId="77777777" w:rsidR="00EC5402" w:rsidRPr="00EC5402" w:rsidRDefault="00EC5402" w:rsidP="00EC5402">
      <w:pPr>
        <w:jc w:val="center"/>
        <w:rPr>
          <w:b/>
          <w:color w:val="0F243E" w:themeColor="text2" w:themeShade="80"/>
          <w:sz w:val="28"/>
          <w:szCs w:val="28"/>
        </w:rPr>
      </w:pPr>
      <w:r w:rsidRPr="00EC5402">
        <w:rPr>
          <w:b/>
          <w:color w:val="0F243E" w:themeColor="text2" w:themeShade="80"/>
          <w:sz w:val="28"/>
          <w:szCs w:val="28"/>
        </w:rPr>
        <w:t>Confiance, Sobriété et Efficacité :</w:t>
      </w:r>
    </w:p>
    <w:p w14:paraId="0035C057" w14:textId="77777777" w:rsidR="00E46EBC" w:rsidRDefault="00F318A6" w:rsidP="00EC5402">
      <w:pPr>
        <w:jc w:val="center"/>
        <w:rPr>
          <w:b/>
          <w:color w:val="0F243E" w:themeColor="text2" w:themeShade="80"/>
          <w:sz w:val="28"/>
          <w:szCs w:val="28"/>
        </w:rPr>
      </w:pPr>
      <w:r w:rsidRPr="00EC5402">
        <w:rPr>
          <w:b/>
          <w:color w:val="0F243E" w:themeColor="text2" w:themeShade="80"/>
          <w:sz w:val="28"/>
          <w:szCs w:val="28"/>
        </w:rPr>
        <w:t>P</w:t>
      </w:r>
      <w:r w:rsidR="00EC5402" w:rsidRPr="00EC5402">
        <w:rPr>
          <w:b/>
          <w:color w:val="0F243E" w:themeColor="text2" w:themeShade="80"/>
          <w:sz w:val="28"/>
          <w:szCs w:val="28"/>
        </w:rPr>
        <w:t xml:space="preserve">our un acte 3 de décentralisation </w:t>
      </w:r>
      <w:r w:rsidR="00B84C41">
        <w:rPr>
          <w:b/>
          <w:color w:val="0F243E" w:themeColor="text2" w:themeShade="80"/>
          <w:sz w:val="28"/>
          <w:szCs w:val="28"/>
        </w:rPr>
        <w:t xml:space="preserve">durable et </w:t>
      </w:r>
      <w:r w:rsidR="00EC5402" w:rsidRPr="00EC5402">
        <w:rPr>
          <w:b/>
          <w:color w:val="0F243E" w:themeColor="text2" w:themeShade="80"/>
          <w:sz w:val="28"/>
          <w:szCs w:val="28"/>
        </w:rPr>
        <w:t>réussi</w:t>
      </w:r>
    </w:p>
    <w:p w14:paraId="292083FA" w14:textId="77777777" w:rsidR="00EC0E8D" w:rsidRDefault="00EC0E8D" w:rsidP="00EC5402"/>
    <w:p w14:paraId="5F73D467" w14:textId="77777777" w:rsidR="00EC5402" w:rsidRPr="003A6470" w:rsidRDefault="00EC5402" w:rsidP="00EC5402">
      <w:pPr>
        <w:rPr>
          <w:b/>
        </w:rPr>
      </w:pPr>
      <w:r>
        <w:t xml:space="preserve">Parce que notre </w:t>
      </w:r>
      <w:r w:rsidRPr="003A6470">
        <w:t xml:space="preserve">système social s’est construit par empilements successifs de mesures </w:t>
      </w:r>
      <w:r w:rsidR="002C4748" w:rsidRPr="003A6470">
        <w:t xml:space="preserve">et de dispositifs </w:t>
      </w:r>
      <w:r w:rsidRPr="003A6470">
        <w:t>sa</w:t>
      </w:r>
      <w:r w:rsidR="002C4748" w:rsidRPr="003A6470">
        <w:t>ns ne jamais en supprimer aucun</w:t>
      </w:r>
      <w:r w:rsidRPr="003A6470">
        <w:t>,</w:t>
      </w:r>
      <w:r w:rsidR="006633F4" w:rsidRPr="003A6470">
        <w:rPr>
          <w:color w:val="4F6228" w:themeColor="accent3" w:themeShade="80"/>
        </w:rPr>
        <w:t xml:space="preserve"> </w:t>
      </w:r>
      <w:r w:rsidR="006633F4" w:rsidRPr="003A6470">
        <w:rPr>
          <w:b/>
          <w:color w:val="4F6228" w:themeColor="accent3" w:themeShade="80"/>
        </w:rPr>
        <w:t xml:space="preserve">il est devenu peu </w:t>
      </w:r>
      <w:r w:rsidR="00E24998" w:rsidRPr="003A6470">
        <w:rPr>
          <w:b/>
          <w:color w:val="4F6228" w:themeColor="accent3" w:themeShade="80"/>
        </w:rPr>
        <w:t>co</w:t>
      </w:r>
      <w:r w:rsidR="00EA2FD1" w:rsidRPr="003A6470">
        <w:rPr>
          <w:b/>
          <w:color w:val="4F6228" w:themeColor="accent3" w:themeShade="80"/>
        </w:rPr>
        <w:t>mpréhensible par les personnes concernées,</w:t>
      </w:r>
    </w:p>
    <w:p w14:paraId="79A85FB0" w14:textId="77777777" w:rsidR="00EC5402" w:rsidRPr="003A6470" w:rsidRDefault="00EC5402" w:rsidP="00EC5402">
      <w:r w:rsidRPr="003A6470">
        <w:t>Parce que une grande majorité de françaises et de français attendent plus de services de proximité,</w:t>
      </w:r>
      <w:r w:rsidR="0064305E" w:rsidRPr="003A6470">
        <w:t xml:space="preserve"> paradoxalement</w:t>
      </w:r>
      <w:r w:rsidR="009D5963" w:rsidRPr="003A6470">
        <w:t xml:space="preserve"> ils ne supportent plus la pression fiscale qu’ils trouvent insupportable,</w:t>
      </w:r>
    </w:p>
    <w:p w14:paraId="4B6BCED5" w14:textId="77777777" w:rsidR="00EC5402" w:rsidRDefault="00EC5402" w:rsidP="00EC5402">
      <w:r>
        <w:t>Parce que les enchevêtrements de compétences  rendent inaudibles à la population voire aux acteurs les efforts des différentes institutions  pour le rendre lisible et accessible,</w:t>
      </w:r>
    </w:p>
    <w:p w14:paraId="01EAB0CD" w14:textId="77777777" w:rsidR="00EC5402" w:rsidRDefault="002C4748" w:rsidP="00EC5402">
      <w:r>
        <w:t>Parce que</w:t>
      </w:r>
      <w:r w:rsidR="00EC5402">
        <w:t xml:space="preserve"> de par leur complexité, l’avalanche de normes et de règlementations, les politiques de solidarité deviennent de moins en moins un enjeu  politique au profit d’une tec</w:t>
      </w:r>
      <w:r>
        <w:t>hnicisation accrue et normative, alors qu’elles concernent, aux différents âges de la vie la quasi-totalité  de la population,</w:t>
      </w:r>
    </w:p>
    <w:p w14:paraId="238D5FC6" w14:textId="07C1B7E6" w:rsidR="00502DEE" w:rsidRDefault="00502DEE" w:rsidP="00EC5402">
      <w:r w:rsidRPr="003A6470">
        <w:rPr>
          <w:b/>
          <w:color w:val="4F6228" w:themeColor="accent3" w:themeShade="80"/>
        </w:rPr>
        <w:t>Parce que réduire le</w:t>
      </w:r>
      <w:r w:rsidR="002C4748" w:rsidRPr="003A6470">
        <w:rPr>
          <w:b/>
          <w:color w:val="4F6228" w:themeColor="accent3" w:themeShade="80"/>
        </w:rPr>
        <w:t xml:space="preserve"> nombre de collectivités ne peu</w:t>
      </w:r>
      <w:r w:rsidR="003A6470" w:rsidRPr="003A6470">
        <w:rPr>
          <w:b/>
          <w:color w:val="4F6228" w:themeColor="accent3" w:themeShade="80"/>
        </w:rPr>
        <w:t>t</w:t>
      </w:r>
      <w:r w:rsidRPr="003A6470">
        <w:rPr>
          <w:b/>
          <w:color w:val="4F6228" w:themeColor="accent3" w:themeShade="80"/>
        </w:rPr>
        <w:t xml:space="preserve"> être qu’une conséquence de démarches de simplification</w:t>
      </w:r>
      <w:r w:rsidR="007E7FCF" w:rsidRPr="003A6470">
        <w:rPr>
          <w:b/>
          <w:color w:val="4F6228" w:themeColor="accent3" w:themeShade="80"/>
        </w:rPr>
        <w:t>, d’amélioration de la qualité du service public</w:t>
      </w:r>
      <w:r w:rsidRPr="003A6470">
        <w:rPr>
          <w:color w:val="4F6228" w:themeColor="accent3" w:themeShade="80"/>
        </w:rPr>
        <w:t xml:space="preserve"> </w:t>
      </w:r>
      <w:r>
        <w:t>et non un préalable à l’engagement de telles</w:t>
      </w:r>
      <w:r w:rsidR="002C4748">
        <w:t xml:space="preserve"> démarches</w:t>
      </w:r>
      <w:r>
        <w:t>,</w:t>
      </w:r>
    </w:p>
    <w:p w14:paraId="019FE45C" w14:textId="77777777" w:rsidR="00502DEE" w:rsidRDefault="002C4748" w:rsidP="00EC5402">
      <w:r>
        <w:t xml:space="preserve">Parce que la France connaît diverses initiatives </w:t>
      </w:r>
      <w:r w:rsidR="00502DEE">
        <w:t>dans le champ des rapprochements consentis entre collectivités,</w:t>
      </w:r>
    </w:p>
    <w:p w14:paraId="6E085517" w14:textId="4070D64E" w:rsidR="00EC5402" w:rsidRDefault="00EC5402" w:rsidP="00EC5402">
      <w:r>
        <w:t xml:space="preserve">Parce que la question </w:t>
      </w:r>
      <w:r w:rsidR="00B71D39">
        <w:t>de la place des</w:t>
      </w:r>
      <w:r w:rsidR="003956F7">
        <w:t xml:space="preserve"> Métropoles au sein des territoires </w:t>
      </w:r>
      <w:r>
        <w:t>pourraient opportunément tracer la voie de nouvelles opportunités de gouvernance et d’organisation, ou rater l’occasion de faire simple et efficace,</w:t>
      </w:r>
      <w:r w:rsidR="002C4748">
        <w:t xml:space="preserve"> à terme,</w:t>
      </w:r>
    </w:p>
    <w:p w14:paraId="50B551FC" w14:textId="77777777" w:rsidR="00EC5402" w:rsidRDefault="00EC5402" w:rsidP="00EC5402">
      <w:r>
        <w:t>Parce que la réduction des inégalités sociales et territoriales demeure un enjeu du pacte républicain,</w:t>
      </w:r>
    </w:p>
    <w:p w14:paraId="571714E0" w14:textId="0808626F" w:rsidR="00502DEE" w:rsidRDefault="00502DEE" w:rsidP="00EC5402">
      <w:r>
        <w:t>Parce que, bien que représentant 37 milliard</w:t>
      </w:r>
      <w:r w:rsidR="00EC5402">
        <w:t xml:space="preserve">s annuels </w:t>
      </w:r>
      <w:r>
        <w:t>sur les 670 milliard</w:t>
      </w:r>
      <w:r w:rsidR="00EC5402">
        <w:t xml:space="preserve">s de la protection sociale </w:t>
      </w:r>
      <w:r>
        <w:t>l’action des départements sur le champ des Solidarités suscite</w:t>
      </w:r>
      <w:r w:rsidR="00EC5402">
        <w:t xml:space="preserve"> de grandes tensions </w:t>
      </w:r>
      <w:r>
        <w:t xml:space="preserve">avec </w:t>
      </w:r>
      <w:r w:rsidR="003A6470">
        <w:t>l’État</w:t>
      </w:r>
      <w:r>
        <w:t xml:space="preserve"> et </w:t>
      </w:r>
      <w:r w:rsidR="00EC5402">
        <w:t xml:space="preserve">semblent inhiber </w:t>
      </w:r>
      <w:r>
        <w:t xml:space="preserve">toute perspective d’évolution dans les modes de production et de gouvernance </w:t>
      </w:r>
      <w:r w:rsidR="009B6085">
        <w:t>de ces politiques.</w:t>
      </w:r>
    </w:p>
    <w:p w14:paraId="2B88B788" w14:textId="77777777" w:rsidR="00EC5402" w:rsidRPr="003A6470" w:rsidRDefault="00EC5402" w:rsidP="00EC5402">
      <w:pPr>
        <w:rPr>
          <w:b/>
          <w:color w:val="4F6228" w:themeColor="accent3" w:themeShade="80"/>
        </w:rPr>
      </w:pPr>
      <w:r>
        <w:t xml:space="preserve">Parce </w:t>
      </w:r>
      <w:r w:rsidR="002C4748">
        <w:t xml:space="preserve">que </w:t>
      </w:r>
      <w:r w:rsidR="009B6085">
        <w:t>l’action publique de</w:t>
      </w:r>
      <w:r w:rsidR="00F13311">
        <w:t>s</w:t>
      </w:r>
      <w:r w:rsidR="009B6085">
        <w:t xml:space="preserve"> Solidarité</w:t>
      </w:r>
      <w:r w:rsidR="00F13311">
        <w:t xml:space="preserve">s </w:t>
      </w:r>
      <w:r w:rsidR="00883283">
        <w:t xml:space="preserve">est </w:t>
      </w:r>
      <w:r w:rsidR="00F869A2">
        <w:t>au</w:t>
      </w:r>
      <w:r w:rsidR="00F869A2" w:rsidRPr="003A6470">
        <w:rPr>
          <w:b/>
          <w:color w:val="4F6228" w:themeColor="accent3" w:themeShade="80"/>
        </w:rPr>
        <w:t xml:space="preserve"> cœur des grandes </w:t>
      </w:r>
      <w:r w:rsidR="00883283" w:rsidRPr="003A6470">
        <w:rPr>
          <w:b/>
          <w:color w:val="4F6228" w:themeColor="accent3" w:themeShade="80"/>
        </w:rPr>
        <w:t>transitions écologiques, numériques et démographiques</w:t>
      </w:r>
      <w:r w:rsidR="00066CF8" w:rsidRPr="003A6470">
        <w:rPr>
          <w:b/>
          <w:color w:val="4F6228" w:themeColor="accent3" w:themeShade="80"/>
        </w:rPr>
        <w:t xml:space="preserve"> </w:t>
      </w:r>
      <w:r w:rsidR="00AC03FB" w:rsidRPr="003A6470">
        <w:rPr>
          <w:b/>
          <w:color w:val="4F6228" w:themeColor="accent3" w:themeShade="80"/>
        </w:rPr>
        <w:t>elle doit participer à cette transformation</w:t>
      </w:r>
      <w:r w:rsidR="00007260" w:rsidRPr="003A6470">
        <w:rPr>
          <w:b/>
          <w:color w:val="4F6228" w:themeColor="accent3" w:themeShade="80"/>
        </w:rPr>
        <w:t>,</w:t>
      </w:r>
    </w:p>
    <w:p w14:paraId="36F5B44C" w14:textId="77777777" w:rsidR="00007260" w:rsidRPr="003A6470" w:rsidRDefault="00007260" w:rsidP="00EC5402">
      <w:pPr>
        <w:rPr>
          <w:b/>
          <w:color w:val="4F6228" w:themeColor="accent3" w:themeShade="80"/>
        </w:rPr>
      </w:pPr>
      <w:r w:rsidRPr="003A6470">
        <w:rPr>
          <w:b/>
          <w:color w:val="4F6228" w:themeColor="accent3" w:themeShade="80"/>
        </w:rPr>
        <w:t xml:space="preserve">Parce </w:t>
      </w:r>
      <w:r w:rsidR="00B067DE" w:rsidRPr="003A6470">
        <w:rPr>
          <w:b/>
          <w:color w:val="4F6228" w:themeColor="accent3" w:themeShade="80"/>
        </w:rPr>
        <w:t>que nous portons l’ambition du développement social</w:t>
      </w:r>
      <w:r w:rsidR="00AA232D" w:rsidRPr="003A6470">
        <w:rPr>
          <w:b/>
          <w:color w:val="4F6228" w:themeColor="accent3" w:themeShade="80"/>
        </w:rPr>
        <w:t>,</w:t>
      </w:r>
    </w:p>
    <w:p w14:paraId="0B12A3ED" w14:textId="6314572C" w:rsidR="00EC0E8D" w:rsidRDefault="009B6085" w:rsidP="00EC5402">
      <w:r w:rsidRPr="00B84C41">
        <w:rPr>
          <w:b/>
        </w:rPr>
        <w:lastRenderedPageBreak/>
        <w:t>L’ANDASS</w:t>
      </w:r>
      <w:r>
        <w:t xml:space="preserve"> propose</w:t>
      </w:r>
      <w:r w:rsidR="00EC0E8D">
        <w:t xml:space="preserve"> une approche rénovée </w:t>
      </w:r>
      <w:r>
        <w:t xml:space="preserve"> </w:t>
      </w:r>
      <w:r w:rsidR="00EC0E8D">
        <w:t>de construction des politiques publiques au territoire.</w:t>
      </w:r>
      <w:r w:rsidR="00EC0E8D" w:rsidRPr="003A6470">
        <w:rPr>
          <w:b/>
          <w:color w:val="4F6228" w:themeColor="accent3" w:themeShade="80"/>
        </w:rPr>
        <w:t xml:space="preserve"> Elle suggère un acte 3 centré</w:t>
      </w:r>
      <w:r w:rsidR="00126851" w:rsidRPr="003A6470">
        <w:rPr>
          <w:b/>
          <w:color w:val="4F6228" w:themeColor="accent3" w:themeShade="80"/>
        </w:rPr>
        <w:t xml:space="preserve"> </w:t>
      </w:r>
      <w:r w:rsidR="003A6470" w:rsidRPr="003A6470">
        <w:rPr>
          <w:b/>
          <w:color w:val="4F6228" w:themeColor="accent3" w:themeShade="80"/>
        </w:rPr>
        <w:t>sur la</w:t>
      </w:r>
      <w:r w:rsidR="00EC0E8D" w:rsidRPr="003A6470">
        <w:rPr>
          <w:b/>
          <w:color w:val="4F6228" w:themeColor="accent3" w:themeShade="80"/>
        </w:rPr>
        <w:t xml:space="preserve"> méthode </w:t>
      </w:r>
      <w:r w:rsidR="00EC0E8D">
        <w:t>qui se substituerait  aux habituels mécanismes peut-être dépassés  de transferts de compétences.</w:t>
      </w:r>
    </w:p>
    <w:p w14:paraId="6527662E" w14:textId="77777777" w:rsidR="00EC0E8D" w:rsidRDefault="00EC0E8D" w:rsidP="00EC5402"/>
    <w:p w14:paraId="3387DD8F" w14:textId="5C8883FE" w:rsidR="009B6085" w:rsidRDefault="00EC0E8D" w:rsidP="00EC5402">
      <w:r>
        <w:t>Elle propose des sc</w:t>
      </w:r>
      <w:r w:rsidR="00A67BB5">
        <w:t>é</w:t>
      </w:r>
      <w:r>
        <w:t xml:space="preserve">narios pour un acte 3, </w:t>
      </w:r>
      <w:r w:rsidR="009B6085">
        <w:t>inspiré</w:t>
      </w:r>
      <w:r>
        <w:t>s</w:t>
      </w:r>
      <w:r w:rsidR="009B6085">
        <w:t xml:space="preserve"> de ses réflexions</w:t>
      </w:r>
      <w:r w:rsidR="002C4748">
        <w:t xml:space="preserve"> sur la loi </w:t>
      </w:r>
      <w:proofErr w:type="spellStart"/>
      <w:r w:rsidR="002C4748">
        <w:t>N</w:t>
      </w:r>
      <w:r w:rsidR="003A6470">
        <w:t>OTR</w:t>
      </w:r>
      <w:r w:rsidR="002C4748">
        <w:t>e</w:t>
      </w:r>
      <w:proofErr w:type="spellEnd"/>
      <w:r w:rsidR="002C4748">
        <w:t xml:space="preserve"> (2014), </w:t>
      </w:r>
      <w:r w:rsidR="009B6085">
        <w:t>longuement mûris dans la confro</w:t>
      </w:r>
      <w:r w:rsidR="009B6085" w:rsidRPr="003A6470">
        <w:t xml:space="preserve">ntation </w:t>
      </w:r>
      <w:r w:rsidRPr="003A6470">
        <w:t>permanente aux</w:t>
      </w:r>
      <w:r w:rsidR="009B6085" w:rsidRPr="003A6470">
        <w:t xml:space="preserve"> plans, stratégies</w:t>
      </w:r>
      <w:r w:rsidR="00BE6635" w:rsidRPr="003A6470">
        <w:t xml:space="preserve"> et lois </w:t>
      </w:r>
      <w:r w:rsidR="008C51D1" w:rsidRPr="003A6470">
        <w:t>proposés par les gouvernements successifs</w:t>
      </w:r>
      <w:r w:rsidR="00BE6635">
        <w:t>.</w:t>
      </w:r>
      <w:r w:rsidR="007F424E">
        <w:t xml:space="preserve"> Ces réflexi</w:t>
      </w:r>
      <w:r w:rsidR="00B84C41">
        <w:t xml:space="preserve">ons découlent des principes </w:t>
      </w:r>
      <w:r w:rsidR="003A6470">
        <w:t xml:space="preserve">déjà explicités </w:t>
      </w:r>
      <w:r w:rsidR="007F424E">
        <w:t>dans le Manifeste intitulé « </w:t>
      </w:r>
      <w:r w:rsidR="008C51D1">
        <w:t>C</w:t>
      </w:r>
      <w:r w:rsidR="007F424E">
        <w:t xml:space="preserve">omment produire une action publique sobre et de qualité » élaboré en juin 2018 en collaboration avec </w:t>
      </w:r>
      <w:r w:rsidR="003A6470">
        <w:t>l’Institut</w:t>
      </w:r>
      <w:r w:rsidR="007F424E">
        <w:t xml:space="preserve"> de la Gouvernance territoriale</w:t>
      </w:r>
      <w:r w:rsidR="00AA78B7">
        <w:t xml:space="preserve"> </w:t>
      </w:r>
      <w:r w:rsidR="00AA78B7" w:rsidRPr="003A6470">
        <w:t>et de la décentralisation</w:t>
      </w:r>
      <w:r w:rsidR="007F424E">
        <w:t xml:space="preserve">, organisme dépendant </w:t>
      </w:r>
      <w:r w:rsidR="003A6470">
        <w:t>directement du Premier Ministre</w:t>
      </w:r>
      <w:r w:rsidR="007F424E">
        <w:t>.</w:t>
      </w:r>
    </w:p>
    <w:p w14:paraId="7E4B9189" w14:textId="77777777" w:rsidR="007F424E" w:rsidRPr="007A7F2C" w:rsidRDefault="007F424E" w:rsidP="00EC5402">
      <w:pPr>
        <w:rPr>
          <w:b/>
        </w:rPr>
      </w:pPr>
    </w:p>
    <w:p w14:paraId="341B25C3" w14:textId="77777777" w:rsidR="00EC5402" w:rsidRDefault="00BE6635" w:rsidP="00EC5402">
      <w:proofErr w:type="gramStart"/>
      <w:r w:rsidRPr="007A7F2C">
        <w:rPr>
          <w:b/>
        </w:rPr>
        <w:t>L’ ANDASS</w:t>
      </w:r>
      <w:proofErr w:type="gramEnd"/>
      <w:r w:rsidRPr="007A7F2C">
        <w:rPr>
          <w:b/>
        </w:rPr>
        <w:t xml:space="preserve"> considère qu’ aujourd’hui</w:t>
      </w:r>
      <w:r>
        <w:t> :</w:t>
      </w:r>
    </w:p>
    <w:p w14:paraId="463E0193" w14:textId="4872BB58" w:rsidR="00D210C2" w:rsidRDefault="002C4748" w:rsidP="00D210C2">
      <w:pPr>
        <w:pStyle w:val="Paragraphedeliste"/>
        <w:numPr>
          <w:ilvl w:val="0"/>
          <w:numId w:val="2"/>
        </w:numPr>
      </w:pPr>
      <w:r w:rsidRPr="00635344">
        <w:rPr>
          <w:b/>
          <w:color w:val="4F6228" w:themeColor="accent3" w:themeShade="80"/>
        </w:rPr>
        <w:t>Le rôle de l’État</w:t>
      </w:r>
      <w:r w:rsidR="00BE6635" w:rsidRPr="00635344">
        <w:rPr>
          <w:b/>
          <w:color w:val="4F6228" w:themeColor="accent3" w:themeShade="80"/>
        </w:rPr>
        <w:t xml:space="preserve"> est à préciser</w:t>
      </w:r>
      <w:r w:rsidR="00B71D39">
        <w:rPr>
          <w:b/>
          <w:color w:val="4F6228" w:themeColor="accent3" w:themeShade="80"/>
        </w:rPr>
        <w:t xml:space="preserve"> voire à redéfinir </w:t>
      </w:r>
      <w:r w:rsidR="00BE6635" w:rsidRPr="00635344">
        <w:rPr>
          <w:b/>
          <w:color w:val="4F6228" w:themeColor="accent3" w:themeShade="80"/>
        </w:rPr>
        <w:t xml:space="preserve"> sur l’ensemble des compétences décentralisées</w:t>
      </w:r>
      <w:r w:rsidR="00D210C2">
        <w:t xml:space="preserve">. </w:t>
      </w:r>
      <w:r w:rsidR="00B71D39">
        <w:t xml:space="preserve">Moins prescripteur, peut-être moins gestionnaire,  plus facilitateur, plus garant des équilibres et des dynamiques entre territoires.  </w:t>
      </w:r>
      <w:r>
        <w:t>Sa rela</w:t>
      </w:r>
      <w:r w:rsidR="003A6470">
        <w:t>tion aux collectivités</w:t>
      </w:r>
      <w:r w:rsidR="00D210C2">
        <w:t xml:space="preserve"> </w:t>
      </w:r>
      <w:r w:rsidR="003A6470">
        <w:t xml:space="preserve">et les attentes </w:t>
      </w:r>
      <w:r w:rsidR="00635344">
        <w:t>qu’il formule</w:t>
      </w:r>
      <w:r w:rsidR="003A6470">
        <w:t xml:space="preserve"> à leur endroit </w:t>
      </w:r>
      <w:r w:rsidR="00B71D39">
        <w:t>pouvant en partie s’exprimer au moyen</w:t>
      </w:r>
      <w:r w:rsidR="003A6470">
        <w:t xml:space="preserve"> </w:t>
      </w:r>
      <w:r w:rsidR="00D210C2">
        <w:t>de contrats</w:t>
      </w:r>
      <w:r w:rsidR="003A6470">
        <w:t>. L’</w:t>
      </w:r>
      <w:r w:rsidR="00635344">
        <w:t>État</w:t>
      </w:r>
      <w:r w:rsidR="003A6470">
        <w:t xml:space="preserve"> doit redéfinir ses apports</w:t>
      </w:r>
      <w:r w:rsidR="00635344">
        <w:t xml:space="preserve"> et contributions dans une discussion équilibrée avec les associations d’élus et les territoires.</w:t>
      </w:r>
    </w:p>
    <w:p w14:paraId="5D95D6E7" w14:textId="77777777" w:rsidR="00635344" w:rsidRDefault="00635344" w:rsidP="00635344">
      <w:pPr>
        <w:pStyle w:val="Paragraphedeliste"/>
      </w:pPr>
    </w:p>
    <w:p w14:paraId="6699CD84" w14:textId="2A6837EE" w:rsidR="007A7F2C" w:rsidRDefault="00B84C41" w:rsidP="00635344">
      <w:pPr>
        <w:pStyle w:val="Paragraphedeliste"/>
        <w:numPr>
          <w:ilvl w:val="0"/>
          <w:numId w:val="2"/>
        </w:numPr>
      </w:pPr>
      <w:r w:rsidRPr="00635344">
        <w:rPr>
          <w:b/>
          <w:color w:val="4F6228" w:themeColor="accent3" w:themeShade="80"/>
        </w:rPr>
        <w:t>L</w:t>
      </w:r>
      <w:r w:rsidR="00BE6635" w:rsidRPr="00635344">
        <w:rPr>
          <w:b/>
          <w:color w:val="4F6228" w:themeColor="accent3" w:themeShade="80"/>
        </w:rPr>
        <w:t>e Pays</w:t>
      </w:r>
      <w:r w:rsidRPr="00635344">
        <w:rPr>
          <w:b/>
          <w:color w:val="4F6228" w:themeColor="accent3" w:themeShade="80"/>
        </w:rPr>
        <w:t xml:space="preserve"> et l’opinion ne supporteront</w:t>
      </w:r>
      <w:r w:rsidR="00BE6635" w:rsidRPr="00635344">
        <w:rPr>
          <w:b/>
          <w:color w:val="4F6228" w:themeColor="accent3" w:themeShade="80"/>
        </w:rPr>
        <w:t xml:space="preserve"> pas les pesanteurs improductives</w:t>
      </w:r>
      <w:r w:rsidR="00BE6635" w:rsidRPr="00635344">
        <w:rPr>
          <w:color w:val="4F6228" w:themeColor="accent3" w:themeShade="80"/>
        </w:rPr>
        <w:t xml:space="preserve"> </w:t>
      </w:r>
      <w:r w:rsidR="00BE6635">
        <w:t>des mécanos</w:t>
      </w:r>
      <w:r w:rsidR="00635344">
        <w:t xml:space="preserve"> et bouleversements </w:t>
      </w:r>
      <w:r w:rsidR="00BE6635">
        <w:t xml:space="preserve"> administratifs, financiers et en ressources humaines qui </w:t>
      </w:r>
      <w:r w:rsidR="004A472F">
        <w:t>se traduiraient au mieux par un ralentissement du</w:t>
      </w:r>
      <w:r w:rsidR="00BE6635">
        <w:t xml:space="preserve"> serv</w:t>
      </w:r>
      <w:r w:rsidR="004A472F">
        <w:t xml:space="preserve">ice des prestations à l’usager, au pire le gripperaient </w:t>
      </w:r>
      <w:r w:rsidR="00BE6635">
        <w:t>sur des durées insoutenables.</w:t>
      </w:r>
    </w:p>
    <w:p w14:paraId="7309924D" w14:textId="77777777" w:rsidR="00635344" w:rsidRDefault="00635344" w:rsidP="00635344">
      <w:pPr>
        <w:pStyle w:val="Paragraphedeliste"/>
      </w:pPr>
    </w:p>
    <w:p w14:paraId="7B3673E8" w14:textId="77777777" w:rsidR="00635344" w:rsidRPr="00635344" w:rsidRDefault="00635344" w:rsidP="00635344">
      <w:pPr>
        <w:pStyle w:val="Paragraphedeliste"/>
      </w:pPr>
    </w:p>
    <w:p w14:paraId="5D963D71" w14:textId="3DA13888" w:rsidR="00BE6635" w:rsidRDefault="00BE6635" w:rsidP="00B71D39">
      <w:pPr>
        <w:pStyle w:val="Paragraphedeliste"/>
        <w:numPr>
          <w:ilvl w:val="0"/>
          <w:numId w:val="2"/>
        </w:numPr>
      </w:pPr>
      <w:r w:rsidRPr="00635344">
        <w:t>Au regard de la diversité des territoires, de la singularité de leurs ressources,</w:t>
      </w:r>
      <w:r w:rsidR="0027360C" w:rsidRPr="00635344">
        <w:t xml:space="preserve"> </w:t>
      </w:r>
      <w:r w:rsidR="004F64D8" w:rsidRPr="00635344">
        <w:t>de leur histoire</w:t>
      </w:r>
      <w:r w:rsidR="00635344" w:rsidRPr="00635344">
        <w:t>,</w:t>
      </w:r>
      <w:r w:rsidRPr="00635344">
        <w:t xml:space="preserve"> </w:t>
      </w:r>
      <w:r w:rsidRPr="00635344">
        <w:rPr>
          <w:b/>
          <w:color w:val="4F6228" w:themeColor="accent3" w:themeShade="80"/>
        </w:rPr>
        <w:t xml:space="preserve">la </w:t>
      </w:r>
      <w:r w:rsidR="00D210C2" w:rsidRPr="00635344">
        <w:rPr>
          <w:b/>
          <w:color w:val="4F6228" w:themeColor="accent3" w:themeShade="80"/>
        </w:rPr>
        <w:t>différenc</w:t>
      </w:r>
      <w:r w:rsidRPr="00635344">
        <w:rPr>
          <w:b/>
          <w:color w:val="4F6228" w:themeColor="accent3" w:themeShade="80"/>
        </w:rPr>
        <w:t>iation fait partie des gênes de la décentralisation</w:t>
      </w:r>
      <w:r w:rsidR="004F64D8" w:rsidRPr="00635344">
        <w:t xml:space="preserve">. </w:t>
      </w:r>
      <w:r w:rsidR="00020DDE" w:rsidRPr="00635344">
        <w:t xml:space="preserve">Elle doit être </w:t>
      </w:r>
      <w:r w:rsidR="003956F7">
        <w:t xml:space="preserve">affirmée et </w:t>
      </w:r>
      <w:r w:rsidR="00020DDE" w:rsidRPr="00635344">
        <w:t>reconnue</w:t>
      </w:r>
      <w:r w:rsidRPr="00635344">
        <w:t xml:space="preserve"> </w:t>
      </w:r>
      <w:r w:rsidR="00020DDE" w:rsidRPr="00635344">
        <w:t>car elle constitue</w:t>
      </w:r>
      <w:r w:rsidRPr="00635344">
        <w:t xml:space="preserve"> le meilleur moyen de réduire les inégalités territoriales et sociales.</w:t>
      </w:r>
      <w:r w:rsidR="00617451" w:rsidRPr="00635344">
        <w:t xml:space="preserve"> La contrepartie est </w:t>
      </w:r>
      <w:r w:rsidR="00D210C2" w:rsidRPr="00635344">
        <w:t>d’en évaluer les impacts dans le temps.</w:t>
      </w:r>
      <w:r w:rsidR="00635344" w:rsidRPr="00635344">
        <w:t xml:space="preserve"> Rappelons – nous que l’État, dans sa forme déc</w:t>
      </w:r>
      <w:r w:rsidR="003956F7">
        <w:t>oncentrée</w:t>
      </w:r>
      <w:r w:rsidR="00635344" w:rsidRPr="00635344">
        <w:t xml:space="preserve"> n’a pas mieux fait en son temps dans la réduction des inégalités.</w:t>
      </w:r>
      <w:r w:rsidR="00B71D39">
        <w:t xml:space="preserve"> L’intensité et la spécificité de l’action répondant au besoin du territoire.</w:t>
      </w:r>
    </w:p>
    <w:p w14:paraId="78966B59" w14:textId="77777777" w:rsidR="00B71D39" w:rsidRDefault="00B71D39" w:rsidP="00B71D39">
      <w:pPr>
        <w:pStyle w:val="Paragraphedeliste"/>
      </w:pPr>
    </w:p>
    <w:p w14:paraId="67BFF410" w14:textId="573DA15A" w:rsidR="00B84C41" w:rsidRDefault="004A472F" w:rsidP="00B84C41">
      <w:pPr>
        <w:pStyle w:val="Paragraphedeliste"/>
        <w:numPr>
          <w:ilvl w:val="0"/>
          <w:numId w:val="2"/>
        </w:numPr>
      </w:pPr>
      <w:r w:rsidRPr="005F14EE">
        <w:rPr>
          <w:b/>
          <w:color w:val="4F6228" w:themeColor="accent3" w:themeShade="80"/>
        </w:rPr>
        <w:t>Le département (</w:t>
      </w:r>
      <w:r w:rsidR="00635344" w:rsidRPr="005F14EE">
        <w:rPr>
          <w:b/>
          <w:color w:val="4F6228" w:themeColor="accent3" w:themeShade="80"/>
        </w:rPr>
        <w:t>nous n’évoquons pas ici</w:t>
      </w:r>
      <w:r w:rsidR="00D210C2" w:rsidRPr="005F14EE">
        <w:rPr>
          <w:b/>
          <w:color w:val="4F6228" w:themeColor="accent3" w:themeShade="80"/>
        </w:rPr>
        <w:t xml:space="preserve"> la collectivité en tant </w:t>
      </w:r>
      <w:r w:rsidRPr="005F14EE">
        <w:rPr>
          <w:b/>
          <w:color w:val="4F6228" w:themeColor="accent3" w:themeShade="80"/>
        </w:rPr>
        <w:t>qu’institution</w:t>
      </w:r>
      <w:r w:rsidR="00D210C2" w:rsidRPr="005F14EE">
        <w:rPr>
          <w:b/>
          <w:color w:val="4F6228" w:themeColor="accent3" w:themeShade="80"/>
        </w:rPr>
        <w:t xml:space="preserve">) est </w:t>
      </w:r>
      <w:r w:rsidR="00B84C41" w:rsidRPr="005F14EE">
        <w:rPr>
          <w:b/>
          <w:color w:val="4F6228" w:themeColor="accent3" w:themeShade="80"/>
        </w:rPr>
        <w:t>l’</w:t>
      </w:r>
      <w:r w:rsidR="00D210C2" w:rsidRPr="005F14EE">
        <w:rPr>
          <w:b/>
          <w:color w:val="4F6228" w:themeColor="accent3" w:themeShade="80"/>
        </w:rPr>
        <w:t xml:space="preserve">échelle  </w:t>
      </w:r>
      <w:r w:rsidR="00B84C41" w:rsidRPr="005F14EE">
        <w:rPr>
          <w:b/>
          <w:color w:val="4F6228" w:themeColor="accent3" w:themeShade="80"/>
        </w:rPr>
        <w:t>minimale pertinente</w:t>
      </w:r>
      <w:r w:rsidR="00D210C2" w:rsidRPr="005F14EE">
        <w:rPr>
          <w:color w:val="4F6228" w:themeColor="accent3" w:themeShade="80"/>
        </w:rPr>
        <w:t xml:space="preserve"> </w:t>
      </w:r>
      <w:r w:rsidR="00D210C2">
        <w:t xml:space="preserve">pour </w:t>
      </w:r>
      <w:r w:rsidR="00B84C41">
        <w:t>piloter</w:t>
      </w:r>
      <w:r w:rsidR="00D210C2">
        <w:t xml:space="preserve"> </w:t>
      </w:r>
      <w:r>
        <w:t xml:space="preserve">les </w:t>
      </w:r>
      <w:r w:rsidR="00D210C2">
        <w:t xml:space="preserve"> politiques sociales</w:t>
      </w:r>
      <w:r w:rsidR="005F14EE">
        <w:t xml:space="preserve"> </w:t>
      </w:r>
      <w:r w:rsidR="00D210C2">
        <w:t>dans une perspect</w:t>
      </w:r>
      <w:r w:rsidR="00B84C41">
        <w:t>ive de sobriété et d’efficacité.</w:t>
      </w:r>
    </w:p>
    <w:p w14:paraId="4A02E5C0" w14:textId="77777777" w:rsidR="00D210C2" w:rsidRDefault="00D210C2" w:rsidP="00D210C2">
      <w:pPr>
        <w:pStyle w:val="Paragraphedeliste"/>
      </w:pPr>
    </w:p>
    <w:p w14:paraId="6C34CBB7" w14:textId="77777777" w:rsidR="00D210C2" w:rsidRDefault="00D210C2" w:rsidP="00BE6635">
      <w:pPr>
        <w:pStyle w:val="Paragraphedeliste"/>
        <w:numPr>
          <w:ilvl w:val="0"/>
          <w:numId w:val="2"/>
        </w:numPr>
      </w:pPr>
      <w:r w:rsidRPr="005F14EE">
        <w:rPr>
          <w:b/>
          <w:color w:val="4F6228" w:themeColor="accent3" w:themeShade="80"/>
        </w:rPr>
        <w:t>Il existe un capital commun de services et de prestations</w:t>
      </w:r>
      <w:r>
        <w:t>, riche et presque abondant</w:t>
      </w:r>
      <w:r w:rsidR="004A472F">
        <w:t xml:space="preserve"> en France</w:t>
      </w:r>
      <w:r>
        <w:t xml:space="preserve">, </w:t>
      </w:r>
      <w:r w:rsidR="003E2A46">
        <w:t xml:space="preserve">sur lequel </w:t>
      </w:r>
      <w:r w:rsidR="004A472F">
        <w:t>il est possible et souhaitable de capitaliser en arrimant</w:t>
      </w:r>
      <w:r w:rsidR="003E2A46">
        <w:t xml:space="preserve"> tout projet d’évolution</w:t>
      </w:r>
      <w:r w:rsidR="004A472F">
        <w:t>.</w:t>
      </w:r>
    </w:p>
    <w:p w14:paraId="40782AEF" w14:textId="77777777" w:rsidR="003E2A46" w:rsidRDefault="003E2A46" w:rsidP="003E2A46">
      <w:pPr>
        <w:pStyle w:val="Paragraphedeliste"/>
      </w:pPr>
    </w:p>
    <w:p w14:paraId="5D13EB9D" w14:textId="77777777" w:rsidR="003E2A46" w:rsidRDefault="003E2A46" w:rsidP="00BE6635">
      <w:pPr>
        <w:pStyle w:val="Paragraphedeliste"/>
        <w:numPr>
          <w:ilvl w:val="0"/>
          <w:numId w:val="2"/>
        </w:numPr>
      </w:pPr>
      <w:r w:rsidRPr="005F14EE">
        <w:rPr>
          <w:b/>
          <w:color w:val="4F6228" w:themeColor="accent3" w:themeShade="80"/>
        </w:rPr>
        <w:lastRenderedPageBreak/>
        <w:t xml:space="preserve">La satisfaction des besoins et des attentes des usagers </w:t>
      </w:r>
      <w:r w:rsidR="004A472F" w:rsidRPr="005F14EE">
        <w:rPr>
          <w:b/>
          <w:color w:val="4F6228" w:themeColor="accent3" w:themeShade="80"/>
        </w:rPr>
        <w:t xml:space="preserve">doit </w:t>
      </w:r>
      <w:r w:rsidRPr="005F14EE">
        <w:rPr>
          <w:b/>
          <w:color w:val="4F6228" w:themeColor="accent3" w:themeShade="80"/>
        </w:rPr>
        <w:t>constitue</w:t>
      </w:r>
      <w:r w:rsidR="004A472F" w:rsidRPr="005F14EE">
        <w:rPr>
          <w:b/>
          <w:color w:val="4F6228" w:themeColor="accent3" w:themeShade="80"/>
        </w:rPr>
        <w:t>r</w:t>
      </w:r>
      <w:r w:rsidRPr="005F14EE">
        <w:rPr>
          <w:b/>
          <w:color w:val="4F6228" w:themeColor="accent3" w:themeShade="80"/>
        </w:rPr>
        <w:t xml:space="preserve"> l’objectif prioritaire</w:t>
      </w:r>
      <w:r>
        <w:t>, partag</w:t>
      </w:r>
      <w:r w:rsidR="004A472F">
        <w:t>é</w:t>
      </w:r>
      <w:r>
        <w:t xml:space="preserve"> par tous les acteurs,  </w:t>
      </w:r>
      <w:r w:rsidR="004A472F">
        <w:t>tout en tenant compte de l’objectif</w:t>
      </w:r>
      <w:r>
        <w:t xml:space="preserve"> de maîtrise de la dépense publique.</w:t>
      </w:r>
    </w:p>
    <w:p w14:paraId="6042C93D" w14:textId="77777777" w:rsidR="00B44E58" w:rsidRDefault="00B44E58" w:rsidP="00B44E58">
      <w:pPr>
        <w:pStyle w:val="Paragraphedeliste"/>
      </w:pPr>
    </w:p>
    <w:p w14:paraId="7D2F15E1" w14:textId="77777777" w:rsidR="00B44E58" w:rsidRDefault="00B44E58" w:rsidP="00B44E58">
      <w:pPr>
        <w:pStyle w:val="Paragraphedeliste"/>
      </w:pPr>
    </w:p>
    <w:p w14:paraId="12674816" w14:textId="22880E60" w:rsidR="007A7F2C" w:rsidRDefault="000048C7" w:rsidP="007A7F2C">
      <w:pPr>
        <w:rPr>
          <w:b/>
        </w:rPr>
      </w:pPr>
      <w:r w:rsidRPr="005F14EE">
        <w:rPr>
          <w:b/>
        </w:rPr>
        <w:t xml:space="preserve">L’Andass </w:t>
      </w:r>
      <w:r w:rsidR="007A7F2C">
        <w:rPr>
          <w:b/>
        </w:rPr>
        <w:t xml:space="preserve">pense que </w:t>
      </w:r>
      <w:r w:rsidR="007F424E" w:rsidRPr="007A7F2C">
        <w:rPr>
          <w:b/>
        </w:rPr>
        <w:t>la réf</w:t>
      </w:r>
      <w:r w:rsidR="007A7F2C">
        <w:rPr>
          <w:b/>
        </w:rPr>
        <w:t xml:space="preserve">lexion sur les Solidarités peut </w:t>
      </w:r>
      <w:r w:rsidR="007F424E" w:rsidRPr="007A7F2C">
        <w:rPr>
          <w:b/>
        </w:rPr>
        <w:t xml:space="preserve"> tracer l</w:t>
      </w:r>
      <w:r w:rsidR="007A7F2C">
        <w:rPr>
          <w:b/>
        </w:rPr>
        <w:t>a voie d’une réforme d’ampleur :</w:t>
      </w:r>
    </w:p>
    <w:p w14:paraId="1F452479" w14:textId="5C0A4A6C" w:rsidR="00B44E58" w:rsidRPr="005F14EE" w:rsidRDefault="007F424E" w:rsidP="007A7F2C">
      <w:r w:rsidRPr="005F14EE">
        <w:rPr>
          <w:b/>
        </w:rPr>
        <w:t xml:space="preserve"> </w:t>
      </w:r>
      <w:r w:rsidR="00BC19AF" w:rsidRPr="005F14EE">
        <w:t>L</w:t>
      </w:r>
      <w:r w:rsidRPr="005F14EE">
        <w:t>es politiques de solidarités sont de construction ancienne</w:t>
      </w:r>
      <w:r w:rsidR="00BC19AF" w:rsidRPr="005F14EE">
        <w:t xml:space="preserve">. </w:t>
      </w:r>
      <w:r w:rsidR="000755CF" w:rsidRPr="005F14EE">
        <w:t>L</w:t>
      </w:r>
      <w:r w:rsidRPr="005F14EE">
        <w:t xml:space="preserve">’enchevêtrement </w:t>
      </w:r>
      <w:r w:rsidR="000755CF" w:rsidRPr="005F14EE">
        <w:t xml:space="preserve">des compétences </w:t>
      </w:r>
      <w:r w:rsidR="005F14EE" w:rsidRPr="005F14EE">
        <w:t>entre l’État</w:t>
      </w:r>
      <w:r w:rsidRPr="005F14EE">
        <w:t>, les organismes sociaux et les collectivités rend d’autant plus importante toute démarche de simplification</w:t>
      </w:r>
      <w:r w:rsidR="006354A6" w:rsidRPr="005F14EE">
        <w:t xml:space="preserve"> et d’accessibilité</w:t>
      </w:r>
      <w:r w:rsidRPr="005F14EE">
        <w:t xml:space="preserve">.  Ce niveau </w:t>
      </w:r>
      <w:r w:rsidR="004A43D4" w:rsidRPr="005F14EE">
        <w:t xml:space="preserve">élevé </w:t>
      </w:r>
      <w:r w:rsidRPr="005F14EE">
        <w:t xml:space="preserve">de complexité (on l’a vu avec la loi </w:t>
      </w:r>
      <w:proofErr w:type="spellStart"/>
      <w:r w:rsidRPr="005F14EE">
        <w:t>N</w:t>
      </w:r>
      <w:r w:rsidR="005F14EE">
        <w:t>OTR</w:t>
      </w:r>
      <w:r w:rsidRPr="005F14EE">
        <w:t>e</w:t>
      </w:r>
      <w:proofErr w:type="spellEnd"/>
      <w:r w:rsidRPr="005F14EE">
        <w:t xml:space="preserve">), peut </w:t>
      </w:r>
      <w:r w:rsidR="005F14EE">
        <w:t>suggérer</w:t>
      </w:r>
      <w:r w:rsidR="00BD6284" w:rsidRPr="005F14EE">
        <w:t xml:space="preserve"> de fausses solutions</w:t>
      </w:r>
      <w:r w:rsidR="00B84C41" w:rsidRPr="005F14EE">
        <w:t>,</w:t>
      </w:r>
      <w:r w:rsidR="00BD6284" w:rsidRPr="005F14EE">
        <w:t xml:space="preserve"> aux effets collatéraux </w:t>
      </w:r>
      <w:r w:rsidR="00B84C41" w:rsidRPr="005F14EE">
        <w:t xml:space="preserve">désastreux en terme de sobriété, </w:t>
      </w:r>
      <w:r w:rsidR="00BD6284" w:rsidRPr="005F14EE">
        <w:t xml:space="preserve">et </w:t>
      </w:r>
      <w:r w:rsidRPr="005F14EE">
        <w:t>brider t</w:t>
      </w:r>
      <w:r w:rsidR="00BD6284" w:rsidRPr="005F14EE">
        <w:t>oute évolution institutionnelle au sein des différents niveaux de la République. Elles font</w:t>
      </w:r>
      <w:r w:rsidR="00B84C41" w:rsidRPr="005F14EE">
        <w:t>, sur le plan organisationnel</w:t>
      </w:r>
      <w:r w:rsidR="00BD6284" w:rsidRPr="005F14EE">
        <w:t>, trop souvent l’objet d’approx</w:t>
      </w:r>
      <w:r w:rsidR="00E742A1" w:rsidRPr="005F14EE">
        <w:t>imation et de très peu d’études d’impact.</w:t>
      </w:r>
      <w:r w:rsidR="00501E5A" w:rsidRPr="005F14EE">
        <w:t xml:space="preserve"> </w:t>
      </w:r>
      <w:r w:rsidR="00153700" w:rsidRPr="005F14EE">
        <w:rPr>
          <w:b/>
          <w:color w:val="4F6228" w:themeColor="accent3" w:themeShade="80"/>
        </w:rPr>
        <w:t xml:space="preserve">Le faible niveau de confiance entre les différentes parties prenantes </w:t>
      </w:r>
      <w:r w:rsidR="00153700" w:rsidRPr="005F14EE">
        <w:t>en est certainement le principal générateur.</w:t>
      </w:r>
    </w:p>
    <w:p w14:paraId="3A94FD70" w14:textId="77777777" w:rsidR="007F424E" w:rsidRDefault="007F424E" w:rsidP="00B44E58">
      <w:pPr>
        <w:pStyle w:val="Paragraphedeliste"/>
      </w:pPr>
    </w:p>
    <w:p w14:paraId="00CB9678" w14:textId="0DD62D5D" w:rsidR="007F424E" w:rsidRPr="007A7F2C" w:rsidRDefault="00445B93" w:rsidP="007A7F2C">
      <w:pPr>
        <w:rPr>
          <w:b/>
        </w:rPr>
      </w:pPr>
      <w:r w:rsidRPr="005F14EE">
        <w:rPr>
          <w:b/>
        </w:rPr>
        <w:t>L’Andass</w:t>
      </w:r>
      <w:r w:rsidR="007A7F2C" w:rsidRPr="005F14EE">
        <w:rPr>
          <w:b/>
        </w:rPr>
        <w:t xml:space="preserve"> </w:t>
      </w:r>
      <w:r w:rsidR="007A7F2C">
        <w:rPr>
          <w:b/>
        </w:rPr>
        <w:t xml:space="preserve">estime qu’une </w:t>
      </w:r>
      <w:r w:rsidR="00BD6284" w:rsidRPr="007A7F2C">
        <w:rPr>
          <w:b/>
        </w:rPr>
        <w:t xml:space="preserve">réforme de l’action sociale </w:t>
      </w:r>
      <w:r w:rsidR="00557DFF" w:rsidRPr="007A7F2C">
        <w:rPr>
          <w:b/>
        </w:rPr>
        <w:t xml:space="preserve">(et de santé) </w:t>
      </w:r>
      <w:r w:rsidR="00967BB1">
        <w:rPr>
          <w:b/>
        </w:rPr>
        <w:t>est en mesure de produire</w:t>
      </w:r>
      <w:r w:rsidR="00BD6284" w:rsidRPr="007A7F2C">
        <w:rPr>
          <w:b/>
        </w:rPr>
        <w:t xml:space="preserve"> plus de performance et d’efficacité, plus de services à la population, tout en respectant le cadre national de m</w:t>
      </w:r>
      <w:r w:rsidR="007A7F2C">
        <w:rPr>
          <w:b/>
        </w:rPr>
        <w:t>aîtrise de la dépense publique :</w:t>
      </w:r>
    </w:p>
    <w:p w14:paraId="1D5838D6" w14:textId="172825F1" w:rsidR="00BD6284" w:rsidRDefault="00BD6284" w:rsidP="00BD6284">
      <w:pPr>
        <w:pStyle w:val="Paragraphedeliste"/>
      </w:pPr>
      <w:r w:rsidRPr="00967BB1">
        <w:rPr>
          <w:b/>
          <w:color w:val="4F6228" w:themeColor="accent3" w:themeShade="80"/>
        </w:rPr>
        <w:t xml:space="preserve">Il faut </w:t>
      </w:r>
      <w:r w:rsidR="00E742A1" w:rsidRPr="00967BB1">
        <w:rPr>
          <w:b/>
          <w:color w:val="4F6228" w:themeColor="accent3" w:themeShade="80"/>
        </w:rPr>
        <w:t xml:space="preserve">pour cela non pas faire </w:t>
      </w:r>
      <w:r w:rsidR="00967BB1">
        <w:rPr>
          <w:b/>
          <w:color w:val="4F6228" w:themeColor="accent3" w:themeShade="80"/>
        </w:rPr>
        <w:t xml:space="preserve">systématiquement </w:t>
      </w:r>
      <w:r w:rsidR="00E742A1" w:rsidRPr="00967BB1">
        <w:rPr>
          <w:b/>
          <w:color w:val="4F6228" w:themeColor="accent3" w:themeShade="80"/>
        </w:rPr>
        <w:t xml:space="preserve">plus, mais </w:t>
      </w:r>
      <w:r w:rsidRPr="00967BB1">
        <w:rPr>
          <w:b/>
          <w:color w:val="4F6228" w:themeColor="accent3" w:themeShade="80"/>
        </w:rPr>
        <w:t>faire mieux,</w:t>
      </w:r>
      <w:r w:rsidR="00557DFF" w:rsidRPr="00967BB1">
        <w:rPr>
          <w:b/>
          <w:color w:val="4F6228" w:themeColor="accent3" w:themeShade="80"/>
        </w:rPr>
        <w:t xml:space="preserve"> </w:t>
      </w:r>
      <w:r w:rsidR="00967BB1">
        <w:rPr>
          <w:b/>
          <w:color w:val="4F6228" w:themeColor="accent3" w:themeShade="80"/>
        </w:rPr>
        <w:t xml:space="preserve">et </w:t>
      </w:r>
      <w:r w:rsidR="00557DFF" w:rsidRPr="00967BB1">
        <w:rPr>
          <w:b/>
          <w:color w:val="4F6228" w:themeColor="accent3" w:themeShade="80"/>
        </w:rPr>
        <w:t>ensemble</w:t>
      </w:r>
      <w:r w:rsidR="00557DFF" w:rsidRPr="00967BB1">
        <w:rPr>
          <w:color w:val="4F6228" w:themeColor="accent3" w:themeShade="80"/>
        </w:rPr>
        <w:t> </w:t>
      </w:r>
      <w:r w:rsidR="00557DFF">
        <w:t xml:space="preserve">! </w:t>
      </w:r>
      <w:r w:rsidR="00302171">
        <w:t>Les</w:t>
      </w:r>
      <w:r w:rsidR="00557DFF">
        <w:t xml:space="preserve"> politiques en silo relèvent de « l’ébriété » (manifeste L </w:t>
      </w:r>
      <w:proofErr w:type="spellStart"/>
      <w:r w:rsidR="00557DFF">
        <w:t>Lémouzy</w:t>
      </w:r>
      <w:proofErr w:type="spellEnd"/>
      <w:r w:rsidR="00557DFF">
        <w:t xml:space="preserve"> IGT</w:t>
      </w:r>
      <w:r w:rsidR="003956F7">
        <w:t>D</w:t>
      </w:r>
      <w:r w:rsidR="00557DFF">
        <w:t xml:space="preserve">). Elles coûtent en démultiplication de compétences, </w:t>
      </w:r>
      <w:r w:rsidR="00B71D39">
        <w:t>en</w:t>
      </w:r>
      <w:r w:rsidR="00557DFF">
        <w:t xml:space="preserve"> gouvernances, en coordination</w:t>
      </w:r>
      <w:r>
        <w:t xml:space="preserve"> </w:t>
      </w:r>
      <w:r w:rsidR="00557DFF">
        <w:t>transverses en tous genres</w:t>
      </w:r>
      <w:r w:rsidR="00557DFF" w:rsidRPr="00967BB1">
        <w:t xml:space="preserve">. </w:t>
      </w:r>
      <w:r w:rsidRPr="00967BB1">
        <w:rPr>
          <w:b/>
          <w:color w:val="4F6228" w:themeColor="accent3" w:themeShade="80"/>
        </w:rPr>
        <w:t>Il faut ériger la</w:t>
      </w:r>
      <w:r w:rsidR="00184CD8" w:rsidRPr="00967BB1">
        <w:rPr>
          <w:b/>
          <w:color w:val="4F6228" w:themeColor="accent3" w:themeShade="80"/>
        </w:rPr>
        <w:t xml:space="preserve"> </w:t>
      </w:r>
      <w:r w:rsidR="007F652B" w:rsidRPr="00967BB1">
        <w:rPr>
          <w:b/>
          <w:color w:val="4F6228" w:themeColor="accent3" w:themeShade="80"/>
        </w:rPr>
        <w:t xml:space="preserve">construction de la </w:t>
      </w:r>
      <w:r w:rsidRPr="00967BB1">
        <w:rPr>
          <w:b/>
          <w:color w:val="4F6228" w:themeColor="accent3" w:themeShade="80"/>
        </w:rPr>
        <w:t xml:space="preserve"> confiance</w:t>
      </w:r>
      <w:r w:rsidR="007F652B" w:rsidRPr="00967BB1">
        <w:rPr>
          <w:b/>
          <w:color w:val="4F6228" w:themeColor="accent3" w:themeShade="80"/>
        </w:rPr>
        <w:t xml:space="preserve"> et du dialogue</w:t>
      </w:r>
      <w:r w:rsidRPr="00967BB1">
        <w:rPr>
          <w:color w:val="4F6228" w:themeColor="accent3" w:themeShade="80"/>
          <w:u w:val="single"/>
        </w:rPr>
        <w:t xml:space="preserve"> </w:t>
      </w:r>
      <w:r w:rsidRPr="00967BB1">
        <w:t xml:space="preserve">entre </w:t>
      </w:r>
      <w:r w:rsidR="007F652B" w:rsidRPr="00967BB1">
        <w:t>les différentes parties prenantes</w:t>
      </w:r>
      <w:r w:rsidRPr="00967BB1">
        <w:t xml:space="preserve"> </w:t>
      </w:r>
      <w:r>
        <w:t xml:space="preserve">au sommet des valeurs du </w:t>
      </w:r>
      <w:r w:rsidR="00B7320E">
        <w:t>« </w:t>
      </w:r>
      <w:r>
        <w:t>vivre</w:t>
      </w:r>
      <w:r w:rsidR="00B7320E">
        <w:t> »</w:t>
      </w:r>
      <w:r>
        <w:t xml:space="preserve"> </w:t>
      </w:r>
      <w:r w:rsidR="00557DFF">
        <w:t>et du « faire »</w:t>
      </w:r>
      <w:r>
        <w:t>ensemble, rechercher les coopérations utiles, développer les articulations entre acteurs, s’affranchir du cadre rigide des compétences, apprendre à déléguer à une autre institution mieux placée, mieux équipée, et investir collectivement et en responsabilité partagée le projet social de territoire.</w:t>
      </w:r>
    </w:p>
    <w:p w14:paraId="5C8928E8" w14:textId="77777777" w:rsidR="007A7F2C" w:rsidRDefault="00557DFF" w:rsidP="00302171">
      <w:pPr>
        <w:pStyle w:val="Paragraphedeliste"/>
      </w:pPr>
      <w:r>
        <w:t>Il faut au sommet de l’Etat produire un système récompensant les territoires vertueux, capables de « laisser les armes », parfois de dépasser les clivages politiques au profit du projet.</w:t>
      </w:r>
    </w:p>
    <w:p w14:paraId="14F33658" w14:textId="1F8B7FC6" w:rsidR="00302171" w:rsidRDefault="00557DFF" w:rsidP="00302171">
      <w:pPr>
        <w:pStyle w:val="Paragraphedeliste"/>
      </w:pPr>
      <w:r>
        <w:t xml:space="preserve"> </w:t>
      </w:r>
      <w:r w:rsidRPr="00557DFF">
        <w:rPr>
          <w:u w:val="single"/>
        </w:rPr>
        <w:t>La révision du Pacte de Cahors</w:t>
      </w:r>
      <w:r>
        <w:t xml:space="preserve"> est en cela un moyen et une opportunité. Restituer au territoire </w:t>
      </w:r>
      <w:r w:rsidR="007F7C84">
        <w:t>et donc à ses habitants</w:t>
      </w:r>
      <w:r w:rsidR="00B71D39">
        <w:t xml:space="preserve"> </w:t>
      </w:r>
      <w:r>
        <w:t>les économies qu’il a su réaliser par</w:t>
      </w:r>
      <w:r w:rsidR="00B45B2F">
        <w:t xml:space="preserve"> </w:t>
      </w:r>
      <w:r w:rsidR="00967BB1" w:rsidRPr="00967BB1">
        <w:rPr>
          <w:b/>
          <w:color w:val="4F6228" w:themeColor="accent3" w:themeShade="80"/>
        </w:rPr>
        <w:t>l’investissement social</w:t>
      </w:r>
      <w:r w:rsidR="00223A58" w:rsidRPr="00967BB1">
        <w:rPr>
          <w:b/>
          <w:color w:val="4F6228" w:themeColor="accent3" w:themeShade="80"/>
        </w:rPr>
        <w:t>,</w:t>
      </w:r>
      <w:r w:rsidRPr="00967BB1">
        <w:rPr>
          <w:b/>
          <w:color w:val="4F6228" w:themeColor="accent3" w:themeShade="80"/>
        </w:rPr>
        <w:t xml:space="preserve"> </w:t>
      </w:r>
      <w:r w:rsidRPr="00967BB1">
        <w:t>la</w:t>
      </w:r>
      <w:r w:rsidRPr="00967BB1">
        <w:rPr>
          <w:color w:val="4F6228" w:themeColor="accent3" w:themeShade="80"/>
        </w:rPr>
        <w:t xml:space="preserve"> </w:t>
      </w:r>
      <w:r>
        <w:t xml:space="preserve">mutualisation de ressources, la mise en commun de dispositifs et de compétences, la délégation consentie, la gestion au niveau approprié de certaines politiques, </w:t>
      </w:r>
      <w:r w:rsidR="00967BB1">
        <w:t>parfois peu efficientes</w:t>
      </w:r>
      <w:r>
        <w:t xml:space="preserve"> au niveau infra.</w:t>
      </w:r>
      <w:r w:rsidR="00302171">
        <w:t xml:space="preserve"> L’Etat pourrait apporter une sorte de « prime » à </w:t>
      </w:r>
      <w:r w:rsidR="00223A58" w:rsidRPr="00967BB1">
        <w:rPr>
          <w:b/>
          <w:color w:val="4F6228" w:themeColor="accent3" w:themeShade="80"/>
        </w:rPr>
        <w:t xml:space="preserve">l’intelligence </w:t>
      </w:r>
      <w:r w:rsidR="00302171" w:rsidRPr="00967BB1">
        <w:rPr>
          <w:b/>
          <w:color w:val="4F6228" w:themeColor="accent3" w:themeShade="80"/>
        </w:rPr>
        <w:t xml:space="preserve"> </w:t>
      </w:r>
      <w:r w:rsidR="00FA4F76" w:rsidRPr="00967BB1">
        <w:rPr>
          <w:b/>
          <w:color w:val="4F6228" w:themeColor="accent3" w:themeShade="80"/>
        </w:rPr>
        <w:t>collective</w:t>
      </w:r>
      <w:r w:rsidR="00FA4F76" w:rsidRPr="00967BB1">
        <w:rPr>
          <w:color w:val="4F6228" w:themeColor="accent3" w:themeShade="80"/>
        </w:rPr>
        <w:t xml:space="preserve"> </w:t>
      </w:r>
      <w:r w:rsidR="00302171">
        <w:t>permettant de consolider et de soutenir la démarche.</w:t>
      </w:r>
      <w:r w:rsidR="007F7C84">
        <w:t xml:space="preserve"> 1 euro économisé par les acteurs locaux = 2 euros réinvestis au local.</w:t>
      </w:r>
    </w:p>
    <w:p w14:paraId="517898E5" w14:textId="77777777" w:rsidR="00302171" w:rsidRDefault="00302171" w:rsidP="00302171">
      <w:pPr>
        <w:pStyle w:val="Paragraphedeliste"/>
      </w:pPr>
    </w:p>
    <w:p w14:paraId="23ECE24B" w14:textId="24879E4E" w:rsidR="00302171" w:rsidRDefault="00967BB1" w:rsidP="00967BB1">
      <w:pPr>
        <w:pStyle w:val="Paragraphedeliste"/>
        <w:ind w:left="0"/>
      </w:pPr>
      <w:r>
        <w:rPr>
          <w:b/>
        </w:rPr>
        <w:t xml:space="preserve">Au-delà des principes énoncés : </w:t>
      </w:r>
      <w:r w:rsidR="007F7C84">
        <w:rPr>
          <w:b/>
        </w:rPr>
        <w:t>3</w:t>
      </w:r>
      <w:r w:rsidR="00302171" w:rsidRPr="00967BB1">
        <w:rPr>
          <w:b/>
        </w:rPr>
        <w:t xml:space="preserve"> mouvements possibles,</w:t>
      </w:r>
      <w:r w:rsidR="00A11E84" w:rsidRPr="00967BB1">
        <w:rPr>
          <w:b/>
        </w:rPr>
        <w:t xml:space="preserve"> sur un mode expérimental de 3 à 5 ans.</w:t>
      </w:r>
    </w:p>
    <w:p w14:paraId="536AFFF6" w14:textId="77777777" w:rsidR="00967BB1" w:rsidRPr="00967BB1" w:rsidRDefault="00967BB1" w:rsidP="00967BB1">
      <w:pPr>
        <w:pStyle w:val="Paragraphedeliste"/>
        <w:ind w:left="0"/>
        <w:rPr>
          <w:b/>
        </w:rPr>
      </w:pPr>
    </w:p>
    <w:p w14:paraId="51B22D43" w14:textId="77777777" w:rsidR="00A11E84" w:rsidRDefault="00302171" w:rsidP="00302171">
      <w:pPr>
        <w:pStyle w:val="Paragraphedeliste"/>
        <w:numPr>
          <w:ilvl w:val="0"/>
          <w:numId w:val="4"/>
        </w:numPr>
      </w:pPr>
      <w:r>
        <w:t xml:space="preserve"> l’un, très ambitieux </w:t>
      </w:r>
      <w:r w:rsidR="00A11E84">
        <w:t>questionnant l’ensemble des politiques sociales et le projet politique dans son ensemble</w:t>
      </w:r>
    </w:p>
    <w:p w14:paraId="3B7F5143" w14:textId="77777777" w:rsidR="00302171" w:rsidRDefault="00302171" w:rsidP="00302171">
      <w:pPr>
        <w:pStyle w:val="Paragraphedeliste"/>
        <w:numPr>
          <w:ilvl w:val="0"/>
          <w:numId w:val="4"/>
        </w:numPr>
      </w:pPr>
      <w:r>
        <w:t xml:space="preserve">Le deuxième </w:t>
      </w:r>
      <w:r w:rsidR="00A11E84">
        <w:t xml:space="preserve">plus prudent </w:t>
      </w:r>
      <w:r>
        <w:t xml:space="preserve">procédant d’une construction  </w:t>
      </w:r>
      <w:r w:rsidR="00A11E84">
        <w:t>par élément.</w:t>
      </w:r>
    </w:p>
    <w:p w14:paraId="3149F342" w14:textId="4404B28C" w:rsidR="00967BB1" w:rsidRDefault="00EB102E" w:rsidP="00C50412">
      <w:pPr>
        <w:pStyle w:val="Paragraphedeliste"/>
        <w:numPr>
          <w:ilvl w:val="0"/>
          <w:numId w:val="4"/>
        </w:numPr>
      </w:pPr>
      <w:r>
        <w:lastRenderedPageBreak/>
        <w:t>Le troisième, impliquant les autres acteurs que les seules collectivités</w:t>
      </w:r>
    </w:p>
    <w:p w14:paraId="03428ED0" w14:textId="77777777" w:rsidR="00C50412" w:rsidRDefault="00C50412" w:rsidP="00C50412">
      <w:pPr>
        <w:pStyle w:val="Paragraphedeliste"/>
        <w:ind w:left="1080"/>
      </w:pPr>
    </w:p>
    <w:p w14:paraId="704353D6" w14:textId="199EB56E" w:rsidR="00307764" w:rsidRDefault="00A11E84" w:rsidP="00EB102E">
      <w:pPr>
        <w:pStyle w:val="Paragraphedeliste"/>
        <w:numPr>
          <w:ilvl w:val="0"/>
          <w:numId w:val="5"/>
        </w:numPr>
      </w:pPr>
      <w:r w:rsidRPr="00307764">
        <w:rPr>
          <w:b/>
        </w:rPr>
        <w:t>Le premier</w:t>
      </w:r>
      <w:r w:rsidR="00307764">
        <w:rPr>
          <w:b/>
        </w:rPr>
        <w:t xml:space="preserve">, </w:t>
      </w:r>
      <w:r w:rsidR="00967BB1">
        <w:rPr>
          <w:b/>
        </w:rPr>
        <w:t xml:space="preserve">le plus </w:t>
      </w:r>
      <w:r w:rsidR="00307764">
        <w:rPr>
          <w:b/>
        </w:rPr>
        <w:t>ambitieux</w:t>
      </w:r>
      <w:r w:rsidR="00967BB1">
        <w:rPr>
          <w:b/>
        </w:rPr>
        <w:t xml:space="preserve"> : consisterait à </w:t>
      </w:r>
      <w:r w:rsidR="00307764" w:rsidRPr="00307764">
        <w:rPr>
          <w:b/>
        </w:rPr>
        <w:t xml:space="preserve"> </w:t>
      </w:r>
      <w:r w:rsidR="007A7F2C" w:rsidRPr="007A7F2C">
        <w:rPr>
          <w:b/>
        </w:rPr>
        <w:t>«</w:t>
      </w:r>
      <w:r w:rsidR="007A7F2C">
        <w:t> </w:t>
      </w:r>
      <w:r w:rsidR="007A7F2C">
        <w:rPr>
          <w:b/>
        </w:rPr>
        <w:t xml:space="preserve">changer d’échelle </w:t>
      </w:r>
      <w:r w:rsidR="00263947">
        <w:rPr>
          <w:b/>
        </w:rPr>
        <w:t xml:space="preserve">pour </w:t>
      </w:r>
      <w:r w:rsidR="00E742A1">
        <w:rPr>
          <w:b/>
        </w:rPr>
        <w:t>rendre compatible</w:t>
      </w:r>
      <w:r w:rsidR="00263947">
        <w:rPr>
          <w:b/>
        </w:rPr>
        <w:t xml:space="preserve"> exigence de pilotage et </w:t>
      </w:r>
      <w:r w:rsidR="00193472" w:rsidRPr="00193472">
        <w:rPr>
          <w:b/>
        </w:rPr>
        <w:t xml:space="preserve"> proximité…</w:t>
      </w:r>
      <w:r w:rsidR="007A7F2C">
        <w:rPr>
          <w:b/>
        </w:rPr>
        <w:t> »</w:t>
      </w:r>
      <w:r w:rsidR="00967BB1" w:rsidRPr="00967BB1">
        <w:t xml:space="preserve">  le parti pris de s’associer à plusieurs Départements</w:t>
      </w:r>
      <w:r w:rsidR="00967BB1">
        <w:t>.</w:t>
      </w:r>
    </w:p>
    <w:p w14:paraId="7D05F753" w14:textId="77777777" w:rsidR="00967BB1" w:rsidRDefault="00967BB1" w:rsidP="00967BB1">
      <w:pPr>
        <w:pStyle w:val="Paragraphedeliste"/>
        <w:ind w:left="1080"/>
      </w:pPr>
    </w:p>
    <w:p w14:paraId="61F43A24" w14:textId="2044AF76" w:rsidR="00263947" w:rsidRDefault="00307764" w:rsidP="00A11E84">
      <w:pPr>
        <w:pStyle w:val="Paragraphedeliste"/>
        <w:ind w:left="1080"/>
      </w:pPr>
      <w:r>
        <w:t xml:space="preserve"> </w:t>
      </w:r>
      <w:r w:rsidR="00263947">
        <w:t xml:space="preserve">Ce scénario </w:t>
      </w:r>
      <w:r w:rsidR="00A11E84">
        <w:t xml:space="preserve">peut paraitre complexe de prime abord. </w:t>
      </w:r>
      <w:r w:rsidR="00A11E84" w:rsidRPr="00967BB1">
        <w:rPr>
          <w:b/>
          <w:color w:val="4F6228" w:themeColor="accent3" w:themeShade="80"/>
        </w:rPr>
        <w:t xml:space="preserve">L’avantage est qu’il s’applique à tous les territoires et </w:t>
      </w:r>
      <w:r w:rsidR="00E742A1" w:rsidRPr="00967BB1">
        <w:rPr>
          <w:b/>
          <w:color w:val="4F6228" w:themeColor="accent3" w:themeShade="80"/>
        </w:rPr>
        <w:t xml:space="preserve">à </w:t>
      </w:r>
      <w:r w:rsidR="00A11E84" w:rsidRPr="00967BB1">
        <w:rPr>
          <w:b/>
          <w:color w:val="4F6228" w:themeColor="accent3" w:themeShade="80"/>
        </w:rPr>
        <w:t>toutes les configurations de collectivité</w:t>
      </w:r>
      <w:r w:rsidR="00263947" w:rsidRPr="00967BB1">
        <w:rPr>
          <w:b/>
          <w:color w:val="4F6228" w:themeColor="accent3" w:themeShade="80"/>
        </w:rPr>
        <w:t xml:space="preserve"> et de territoire, </w:t>
      </w:r>
      <w:r w:rsidR="00E742A1" w:rsidRPr="00967BB1">
        <w:rPr>
          <w:b/>
          <w:color w:val="4F6228" w:themeColor="accent3" w:themeShade="80"/>
        </w:rPr>
        <w:t xml:space="preserve">du très </w:t>
      </w:r>
      <w:r w:rsidR="00263947" w:rsidRPr="00967BB1">
        <w:rPr>
          <w:b/>
          <w:color w:val="4F6228" w:themeColor="accent3" w:themeShade="80"/>
        </w:rPr>
        <w:t xml:space="preserve">rural </w:t>
      </w:r>
      <w:r w:rsidR="00E742A1" w:rsidRPr="00967BB1">
        <w:rPr>
          <w:b/>
          <w:color w:val="4F6228" w:themeColor="accent3" w:themeShade="80"/>
        </w:rPr>
        <w:t>au très</w:t>
      </w:r>
      <w:r w:rsidR="00263947" w:rsidRPr="00967BB1">
        <w:rPr>
          <w:b/>
          <w:color w:val="4F6228" w:themeColor="accent3" w:themeShade="80"/>
        </w:rPr>
        <w:t xml:space="preserve"> urbanisé</w:t>
      </w:r>
      <w:r w:rsidR="00A11E84" w:rsidRPr="00967BB1">
        <w:rPr>
          <w:b/>
          <w:color w:val="4F6228" w:themeColor="accent3" w:themeShade="80"/>
        </w:rPr>
        <w:t>.</w:t>
      </w:r>
      <w:r w:rsidR="00263947" w:rsidRPr="00967BB1">
        <w:rPr>
          <w:b/>
          <w:color w:val="4F6228" w:themeColor="accent3" w:themeShade="80"/>
        </w:rPr>
        <w:t xml:space="preserve"> </w:t>
      </w:r>
      <w:r w:rsidR="00263947">
        <w:t xml:space="preserve">Il part du principe que le département peut s’avérer parfois trop petit ou parfois trop grand selon la compétence à développer. </w:t>
      </w:r>
      <w:r w:rsidR="00A11E84">
        <w:t xml:space="preserve"> </w:t>
      </w:r>
      <w:r w:rsidR="00263947">
        <w:t xml:space="preserve">L’élasticité de la maille </w:t>
      </w:r>
      <w:r w:rsidR="007F7C84">
        <w:t xml:space="preserve">pour piloter ou/et  agir </w:t>
      </w:r>
      <w:r w:rsidR="00263947">
        <w:t>devient un facteur de performance.</w:t>
      </w:r>
    </w:p>
    <w:p w14:paraId="71676B97" w14:textId="77777777" w:rsidR="00A11E84" w:rsidRDefault="00A11E84" w:rsidP="00A11E84">
      <w:pPr>
        <w:pStyle w:val="Paragraphedeliste"/>
        <w:ind w:left="1080"/>
      </w:pPr>
      <w:r>
        <w:t>Le mouvement se déploie</w:t>
      </w:r>
      <w:r w:rsidR="00263947">
        <w:t xml:space="preserve"> en plusieurs</w:t>
      </w:r>
      <w:r>
        <w:t xml:space="preserve"> actes :  </w:t>
      </w:r>
    </w:p>
    <w:p w14:paraId="27976B01" w14:textId="4BAF619A" w:rsidR="00A11E84" w:rsidRDefault="00A11E84" w:rsidP="00A11E84">
      <w:pPr>
        <w:pStyle w:val="Paragraphedeliste"/>
        <w:ind w:left="1080"/>
      </w:pPr>
      <w:r w:rsidRPr="00263947">
        <w:rPr>
          <w:u w:val="single"/>
        </w:rPr>
        <w:t>Acte 1 :</w:t>
      </w:r>
      <w:r>
        <w:t xml:space="preserve"> Il consiste, dans le respect des institutions dont elles relèvent,  à faire remonter </w:t>
      </w:r>
      <w:r w:rsidR="00263947">
        <w:t xml:space="preserve">par consentement, </w:t>
      </w:r>
      <w:r w:rsidR="007F7C84">
        <w:t xml:space="preserve">des blocs de compétences voire </w:t>
      </w:r>
      <w:r>
        <w:t>l’ensemble des compétences sociales départementales à un niveau supérieur, constitué de 2, 3 voire 4 départements. Une gouvernance spécifique est conçue pour le temps de l’expérimentation.</w:t>
      </w:r>
      <w:r w:rsidR="00E742A1">
        <w:t xml:space="preserve"> Ce sc</w:t>
      </w:r>
      <w:r w:rsidR="00967BB1">
        <w:t xml:space="preserve">énario s’adapte aussi bien à l’Ile de France </w:t>
      </w:r>
      <w:r w:rsidR="00E742A1">
        <w:t>qu’en province.</w:t>
      </w:r>
      <w:r w:rsidR="007F7C84">
        <w:t xml:space="preserve"> Il a le mérite de considérer une compétence dans sa plénitude au lieu de la morceler en tranches de dispositif (tel l’article 90 de la loi </w:t>
      </w:r>
      <w:proofErr w:type="spellStart"/>
      <w:r w:rsidR="007F7C84">
        <w:t>NOTRe</w:t>
      </w:r>
      <w:proofErr w:type="spellEnd"/>
      <w:r w:rsidR="007F7C84">
        <w:t>)</w:t>
      </w:r>
    </w:p>
    <w:p w14:paraId="76F0D59C" w14:textId="77777777" w:rsidR="00E742A1" w:rsidRDefault="00A11E84" w:rsidP="00A11E84">
      <w:pPr>
        <w:pStyle w:val="Paragraphedeliste"/>
        <w:ind w:left="1080"/>
      </w:pPr>
      <w:r w:rsidRPr="00263947">
        <w:rPr>
          <w:u w:val="single"/>
        </w:rPr>
        <w:t>Acte 2 :</w:t>
      </w:r>
      <w:r>
        <w:t xml:space="preserve"> la nouvelle entité détient le pouvoir </w:t>
      </w:r>
      <w:r w:rsidR="00307764">
        <w:t xml:space="preserve">d’agir et du pouvoir </w:t>
      </w:r>
      <w:r>
        <w:t xml:space="preserve">délégataire. Elle </w:t>
      </w:r>
      <w:r w:rsidR="00307764">
        <w:t>choisit soit de se donner les moyens de faire en direct en s’appuyant désormais sur une assiette de moyens mutualisés, soit d’organiser</w:t>
      </w:r>
      <w:r>
        <w:t xml:space="preserve"> la délégation de compétences, de dispositifs  sur ce nouveau  territoire</w:t>
      </w:r>
      <w:r w:rsidR="00307764">
        <w:t xml:space="preserve">. </w:t>
      </w:r>
    </w:p>
    <w:p w14:paraId="103FB01F" w14:textId="77777777" w:rsidR="00A11E84" w:rsidRDefault="00E742A1" w:rsidP="00A11E84">
      <w:pPr>
        <w:pStyle w:val="Paragraphedeliste"/>
        <w:ind w:left="1080"/>
      </w:pPr>
      <w:r>
        <w:rPr>
          <w:u w:val="single"/>
        </w:rPr>
        <w:t>Acte 3 :</w:t>
      </w:r>
      <w:r>
        <w:t xml:space="preserve"> </w:t>
      </w:r>
      <w:r w:rsidR="00307764">
        <w:t xml:space="preserve">Dans ces conditions, la nouvelle entité décide </w:t>
      </w:r>
      <w:r>
        <w:t xml:space="preserve">de manière collégiale </w:t>
      </w:r>
      <w:r w:rsidR="00307764">
        <w:t>de ce qui doit relever utilement d’une gestion et d’un pilotage supra dép</w:t>
      </w:r>
      <w:r w:rsidR="00193472">
        <w:t xml:space="preserve">artemental (le médico-social PA et PH par exemple), </w:t>
      </w:r>
      <w:r w:rsidR="00307764">
        <w:t xml:space="preserve"> de ce qui relève pertinemment de la proximité </w:t>
      </w:r>
      <w:r w:rsidR="00193472">
        <w:t xml:space="preserve">(services sociaux, PMI..) </w:t>
      </w:r>
      <w:r w:rsidR="00307764">
        <w:t xml:space="preserve">et d’un acteur mieux positionné au local (intercommunalité, ville, association). </w:t>
      </w:r>
      <w:r w:rsidR="00307764" w:rsidRPr="00D473C4">
        <w:rPr>
          <w:b/>
          <w:color w:val="4F6228" w:themeColor="accent3" w:themeShade="80"/>
        </w:rPr>
        <w:t>L’entité peut assumer ainsi une capacité d’intervention subsidiaire,</w:t>
      </w:r>
      <w:r w:rsidR="00307764" w:rsidRPr="00D473C4">
        <w:rPr>
          <w:color w:val="4F6228" w:themeColor="accent3" w:themeShade="80"/>
        </w:rPr>
        <w:t xml:space="preserve"> </w:t>
      </w:r>
      <w:r w:rsidR="00307764">
        <w:t xml:space="preserve">nécessaire </w:t>
      </w:r>
      <w:r>
        <w:t xml:space="preserve">par exemple </w:t>
      </w:r>
      <w:r w:rsidR="00307764">
        <w:t xml:space="preserve">en cas de délégation de </w:t>
      </w:r>
      <w:r w:rsidR="00193472">
        <w:t>compétences</w:t>
      </w:r>
      <w:r w:rsidR="00307764">
        <w:t xml:space="preserve"> importan</w:t>
      </w:r>
      <w:r w:rsidR="00193472">
        <w:t>t</w:t>
      </w:r>
      <w:r w:rsidR="00307764">
        <w:t>es</w:t>
      </w:r>
      <w:r w:rsidR="00193472">
        <w:t xml:space="preserve"> </w:t>
      </w:r>
      <w:r w:rsidR="00307764">
        <w:t>à une Métropole</w:t>
      </w:r>
      <w:r w:rsidR="00193472">
        <w:t>, qui capterait des dynamiques centrifuges dans l’intérêt de sa population au détriment de zones rurales périphériques, par exemple.</w:t>
      </w:r>
    </w:p>
    <w:p w14:paraId="76543ED8" w14:textId="77777777" w:rsidR="00E742A1" w:rsidRDefault="00E742A1" w:rsidP="00A11E84">
      <w:pPr>
        <w:pStyle w:val="Paragraphedeliste"/>
        <w:ind w:left="1080"/>
      </w:pPr>
    </w:p>
    <w:p w14:paraId="18FBDD68" w14:textId="77777777" w:rsidR="00193472" w:rsidRDefault="00193472" w:rsidP="00E742A1">
      <w:pPr>
        <w:pStyle w:val="Paragraphedeliste"/>
        <w:numPr>
          <w:ilvl w:val="0"/>
          <w:numId w:val="8"/>
        </w:numPr>
      </w:pPr>
      <w:r>
        <w:t>L’avantage de cette proposition est qu</w:t>
      </w:r>
      <w:r w:rsidR="00E742A1">
        <w:t>e</w:t>
      </w:r>
      <w:r w:rsidR="005E4799">
        <w:t xml:space="preserve">, dans un cadre d’expérimentation, </w:t>
      </w:r>
      <w:r>
        <w:t xml:space="preserve">elle rebat les cartes de manière non définitive, permet des ajustements réguliers, maintien les </w:t>
      </w:r>
      <w:r w:rsidR="005E4799">
        <w:t>effectifs de proximité en place, assure la continuité du service à l’usager, tout en mutualisant certaines fonctions à fort levier prospectif et de gestion : (pilotage, expertise, évaluation,</w:t>
      </w:r>
      <w:r w:rsidR="005E4799" w:rsidRPr="005E4799">
        <w:t xml:space="preserve"> </w:t>
      </w:r>
      <w:r w:rsidR="005E4799">
        <w:t>contrôle, reporting, support,..)</w:t>
      </w:r>
    </w:p>
    <w:p w14:paraId="116998DB" w14:textId="77777777" w:rsidR="00E742A1" w:rsidRDefault="00E742A1" w:rsidP="00E742A1">
      <w:pPr>
        <w:pStyle w:val="Paragraphedeliste"/>
        <w:ind w:left="1440"/>
      </w:pPr>
    </w:p>
    <w:p w14:paraId="1B19B445" w14:textId="77777777" w:rsidR="00E742A1" w:rsidRDefault="00193472" w:rsidP="00E742A1">
      <w:pPr>
        <w:pStyle w:val="Paragraphedeliste"/>
        <w:numPr>
          <w:ilvl w:val="0"/>
          <w:numId w:val="8"/>
        </w:numPr>
      </w:pPr>
      <w:r w:rsidRPr="00D473C4">
        <w:rPr>
          <w:b/>
          <w:color w:val="4F6228" w:themeColor="accent3" w:themeShade="80"/>
        </w:rPr>
        <w:t xml:space="preserve">Elle conduit à définir politiquement le sens de la reforme envisagé, à se mettre d’accord sur les résultats sociaux espérés, en associant </w:t>
      </w:r>
      <w:r w:rsidR="00E742A1" w:rsidRPr="00D473C4">
        <w:rPr>
          <w:b/>
          <w:color w:val="4F6228" w:themeColor="accent3" w:themeShade="80"/>
        </w:rPr>
        <w:t>l’État</w:t>
      </w:r>
      <w:r w:rsidRPr="00D473C4">
        <w:rPr>
          <w:b/>
          <w:color w:val="4F6228" w:themeColor="accent3" w:themeShade="80"/>
        </w:rPr>
        <w:t xml:space="preserve"> dans sa forme représentative et dans sa diversité </w:t>
      </w:r>
      <w:r>
        <w:t xml:space="preserve">à l’objectif commun dans une logique de négociation des apports mutuels au projet. </w:t>
      </w:r>
    </w:p>
    <w:p w14:paraId="44258313" w14:textId="77777777" w:rsidR="00E742A1" w:rsidRDefault="00E742A1" w:rsidP="00E742A1">
      <w:pPr>
        <w:pStyle w:val="Paragraphedeliste"/>
      </w:pPr>
    </w:p>
    <w:p w14:paraId="6E2238BB" w14:textId="2697F7D4" w:rsidR="00193472" w:rsidRDefault="00263947" w:rsidP="00E742A1">
      <w:pPr>
        <w:pStyle w:val="Paragraphedeliste"/>
        <w:ind w:left="1440"/>
      </w:pPr>
      <w:r>
        <w:t xml:space="preserve">Une variante serait de donner la possibilité aux collectivités anciennement gestionnaire de conserver de droit, à condition de le formuler, tout ou partie des </w:t>
      </w:r>
      <w:r>
        <w:lastRenderedPageBreak/>
        <w:t>compétences qu’elle gérait antérieurement.</w:t>
      </w:r>
      <w:r w:rsidR="005E4799">
        <w:t xml:space="preserve"> </w:t>
      </w:r>
      <w:r w:rsidR="007F7C84">
        <w:t xml:space="preserve">Ce qui aurait le </w:t>
      </w:r>
      <w:proofErr w:type="spellStart"/>
      <w:r w:rsidR="007F7C84">
        <w:t>merite</w:t>
      </w:r>
      <w:proofErr w:type="spellEnd"/>
      <w:r w:rsidR="007F7C84">
        <w:t xml:space="preserve"> d’ouvrir des options et hypothèses ou les mettre à l’étude sans contraindre puisque chacun pourrait conserver ses compétences.</w:t>
      </w:r>
    </w:p>
    <w:p w14:paraId="31E74D0E" w14:textId="77777777" w:rsidR="00193472" w:rsidRDefault="00193472" w:rsidP="00A11E84">
      <w:pPr>
        <w:pStyle w:val="Paragraphedeliste"/>
        <w:ind w:left="1080"/>
      </w:pPr>
    </w:p>
    <w:p w14:paraId="4A6565F1" w14:textId="1809C8D3" w:rsidR="00304696" w:rsidRDefault="00E742A1" w:rsidP="00C50412">
      <w:pPr>
        <w:pStyle w:val="Paragraphedeliste"/>
        <w:ind w:left="1080"/>
      </w:pPr>
      <w:r>
        <w:t xml:space="preserve">En </w:t>
      </w:r>
      <w:r w:rsidR="00EC0E8D">
        <w:t>outre,</w:t>
      </w:r>
      <w:r>
        <w:t xml:space="preserve"> </w:t>
      </w:r>
      <w:r w:rsidR="00193472" w:rsidRPr="00D473C4">
        <w:rPr>
          <w:b/>
          <w:color w:val="4F6228" w:themeColor="accent3" w:themeShade="80"/>
        </w:rPr>
        <w:t>Elle permet de dé - technocratiser le social au profit du projet politique</w:t>
      </w:r>
      <w:r w:rsidR="00193472" w:rsidRPr="00D473C4">
        <w:rPr>
          <w:color w:val="4F6228" w:themeColor="accent3" w:themeShade="80"/>
        </w:rPr>
        <w:t xml:space="preserve"> </w:t>
      </w:r>
      <w:r w:rsidR="00193472">
        <w:t xml:space="preserve">en amenant </w:t>
      </w:r>
      <w:r w:rsidR="00263947">
        <w:t xml:space="preserve">les exécutifs </w:t>
      </w:r>
      <w:r w:rsidR="00193472">
        <w:t xml:space="preserve"> à expliciter </w:t>
      </w:r>
      <w:r w:rsidR="00263947">
        <w:t xml:space="preserve">leur choix de </w:t>
      </w:r>
      <w:r w:rsidR="005E4799">
        <w:t xml:space="preserve">conserver, de </w:t>
      </w:r>
      <w:r w:rsidR="00263947">
        <w:t xml:space="preserve">prendre </w:t>
      </w:r>
      <w:r w:rsidR="005E4799">
        <w:t xml:space="preserve">une nouvelle compétence </w:t>
      </w:r>
      <w:r w:rsidR="00263947">
        <w:t>ou de déléguer.</w:t>
      </w:r>
    </w:p>
    <w:p w14:paraId="2F0B4480" w14:textId="52A6CBBF" w:rsidR="007F7C84" w:rsidRDefault="007F7C84" w:rsidP="00C50412">
      <w:pPr>
        <w:pStyle w:val="Paragraphedeliste"/>
        <w:ind w:left="1080"/>
      </w:pPr>
      <w:r>
        <w:t xml:space="preserve">Enfin elle </w:t>
      </w:r>
      <w:r w:rsidR="008F54DB">
        <w:t xml:space="preserve">met </w:t>
      </w:r>
      <w:r w:rsidR="008F54DB" w:rsidRPr="008F54DB">
        <w:rPr>
          <w:b/>
          <w:color w:val="4F6228" w:themeColor="accent3" w:themeShade="80"/>
        </w:rPr>
        <w:t>la responsabilité</w:t>
      </w:r>
      <w:r w:rsidR="008F54DB" w:rsidRPr="008F54DB">
        <w:rPr>
          <w:color w:val="4F6228" w:themeColor="accent3" w:themeShade="80"/>
        </w:rPr>
        <w:t xml:space="preserve"> </w:t>
      </w:r>
      <w:r w:rsidR="008F54DB">
        <w:t>au sommet des engagements en faveur du territoire.</w:t>
      </w:r>
    </w:p>
    <w:p w14:paraId="4A69F7F4" w14:textId="77777777" w:rsidR="00C50412" w:rsidRPr="00C50412" w:rsidRDefault="00C50412" w:rsidP="00C50412">
      <w:pPr>
        <w:pStyle w:val="Paragraphedeliste"/>
        <w:ind w:left="1080"/>
      </w:pPr>
    </w:p>
    <w:p w14:paraId="2F04BE58" w14:textId="4C8AC027" w:rsidR="00304696" w:rsidRPr="00EB102E" w:rsidRDefault="00304696" w:rsidP="00EB102E">
      <w:pPr>
        <w:pStyle w:val="Paragraphedeliste"/>
        <w:numPr>
          <w:ilvl w:val="0"/>
          <w:numId w:val="5"/>
        </w:numPr>
        <w:rPr>
          <w:b/>
        </w:rPr>
      </w:pPr>
      <w:r w:rsidRPr="00EB102E">
        <w:rPr>
          <w:b/>
        </w:rPr>
        <w:t xml:space="preserve">Le deuxième parti-pris : la construction par touches progressives, en </w:t>
      </w:r>
      <w:r w:rsidR="00D473C4">
        <w:rPr>
          <w:b/>
        </w:rPr>
        <w:t>« </w:t>
      </w:r>
      <w:proofErr w:type="spellStart"/>
      <w:r w:rsidRPr="00EB102E">
        <w:rPr>
          <w:b/>
        </w:rPr>
        <w:t>bottom</w:t>
      </w:r>
      <w:proofErr w:type="spellEnd"/>
      <w:r w:rsidRPr="00EB102E">
        <w:rPr>
          <w:b/>
        </w:rPr>
        <w:t>-up</w:t>
      </w:r>
      <w:r w:rsidR="00D473C4">
        <w:rPr>
          <w:b/>
        </w:rPr>
        <w:t> »</w:t>
      </w:r>
      <w:r w:rsidRPr="00EB102E">
        <w:rPr>
          <w:b/>
        </w:rPr>
        <w:t>.</w:t>
      </w:r>
    </w:p>
    <w:p w14:paraId="6407101B" w14:textId="6C1DAD1A" w:rsidR="00A11E84" w:rsidRDefault="00D92F6A" w:rsidP="00A11E84">
      <w:pPr>
        <w:pStyle w:val="Paragraphedeliste"/>
        <w:ind w:left="1080"/>
      </w:pPr>
      <w:r>
        <w:t xml:space="preserve">Il réside dans la volonté de deux départements par exemple, ou d’un département et d’une intercommunalité (Métropole, CA, CC, Ville…) soit de s’associer pour mettre en œuvre une compétence, soit de regrouper leurs services dans un esprit de mutualisation, ou encore que le département délègue une partie à la Métropole pour qu’elle agisse en son nom. Ces mécanismes sont déjà à l’œuvre sur le territoire national mais ne s’inscrivent pas </w:t>
      </w:r>
      <w:r w:rsidR="00912FD0" w:rsidRPr="00D473C4">
        <w:t xml:space="preserve">dans </w:t>
      </w:r>
      <w:r>
        <w:t>une ambition  nationale impliquant l’État au tour de table, en qualité de garant des équilibres nationaux et territoriaux</w:t>
      </w:r>
      <w:proofErr w:type="gramStart"/>
      <w:r>
        <w:t>..</w:t>
      </w:r>
      <w:proofErr w:type="gramEnd"/>
    </w:p>
    <w:p w14:paraId="7E01C95A" w14:textId="77777777" w:rsidR="00D92F6A" w:rsidRDefault="00D92F6A" w:rsidP="00A11E84">
      <w:pPr>
        <w:pStyle w:val="Paragraphedeliste"/>
        <w:ind w:left="1080"/>
      </w:pPr>
      <w:r>
        <w:t>Ce parti-pris offre de multiples possibilités de rythme et de périmètre dans la délégation et la mise en commun. Su</w:t>
      </w:r>
      <w:r w:rsidR="00EB102E">
        <w:t>s</w:t>
      </w:r>
      <w:r>
        <w:t>cite moins l’électrochoc que le premier</w:t>
      </w:r>
      <w:r w:rsidR="00EB102E">
        <w:t xml:space="preserve">, permet d’appréhender « step by step » dans une logique d’essai et d’apprivoisement progressif </w:t>
      </w:r>
      <w:r>
        <w:t xml:space="preserve"> et semble donc par là même </w:t>
      </w:r>
      <w:r w:rsidR="00EB102E">
        <w:t>plus adapté au rythme réformateur de la France.</w:t>
      </w:r>
    </w:p>
    <w:p w14:paraId="259670F7" w14:textId="14B15BDE" w:rsidR="00EB102E" w:rsidRDefault="00EB102E" w:rsidP="00A11E84">
      <w:pPr>
        <w:pStyle w:val="Paragraphedeliste"/>
        <w:ind w:left="1080"/>
      </w:pPr>
      <w:r>
        <w:t xml:space="preserve">Sauf si </w:t>
      </w:r>
      <w:r w:rsidR="00D473C4">
        <w:t>l’</w:t>
      </w:r>
      <w:proofErr w:type="spellStart"/>
      <w:r w:rsidR="00D473C4">
        <w:t>Etat</w:t>
      </w:r>
      <w:proofErr w:type="spellEnd"/>
      <w:r>
        <w:t xml:space="preserve"> apporte des mesures d’intéressement majeures à l’engagement de ces évolutions. (Pacte de Cahors, levier de la  trajectoire financière, capacité de réinvestissement locale des marges récupérées par le « faire » ensemble).</w:t>
      </w:r>
    </w:p>
    <w:p w14:paraId="17788388" w14:textId="77777777" w:rsidR="00D92F6A" w:rsidRDefault="00D92F6A" w:rsidP="007A7F2C"/>
    <w:p w14:paraId="055ABD0B" w14:textId="63E34988" w:rsidR="00BD6284" w:rsidRPr="007A7F2C" w:rsidRDefault="00EB102E" w:rsidP="007A7F2C">
      <w:pPr>
        <w:ind w:left="1080"/>
        <w:rPr>
          <w:b/>
        </w:rPr>
      </w:pPr>
      <w:r w:rsidRPr="007A7F2C">
        <w:rPr>
          <w:b/>
        </w:rPr>
        <w:t xml:space="preserve">Quelques </w:t>
      </w:r>
      <w:r w:rsidR="00263947" w:rsidRPr="007A7F2C">
        <w:rPr>
          <w:b/>
        </w:rPr>
        <w:t xml:space="preserve"> exemples de compétences qui gagneraient</w:t>
      </w:r>
      <w:r w:rsidR="005E4799" w:rsidRPr="007A7F2C">
        <w:rPr>
          <w:b/>
        </w:rPr>
        <w:t xml:space="preserve">, selon la configuration territoriales toutefois, </w:t>
      </w:r>
      <w:r w:rsidR="00263947" w:rsidRPr="007A7F2C">
        <w:rPr>
          <w:b/>
        </w:rPr>
        <w:t xml:space="preserve"> </w:t>
      </w:r>
      <w:r w:rsidR="005E4799" w:rsidRPr="007A7F2C">
        <w:rPr>
          <w:b/>
        </w:rPr>
        <w:t xml:space="preserve">à être gérées à un niveau </w:t>
      </w:r>
      <w:r w:rsidR="007A7F2C">
        <w:rPr>
          <w:b/>
        </w:rPr>
        <w:t>inter-</w:t>
      </w:r>
      <w:r w:rsidR="005E4799" w:rsidRPr="007A7F2C">
        <w:rPr>
          <w:b/>
        </w:rPr>
        <w:t xml:space="preserve"> départemental :</w:t>
      </w:r>
      <w:r w:rsidR="007A7F2C">
        <w:rPr>
          <w:b/>
        </w:rPr>
        <w:t xml:space="preserve"> (ce ne sont que des exemples</w:t>
      </w:r>
      <w:r w:rsidR="008F54DB">
        <w:rPr>
          <w:b/>
        </w:rPr>
        <w:t xml:space="preserve">, et non </w:t>
      </w:r>
      <w:proofErr w:type="spellStart"/>
      <w:r w:rsidR="008F54DB">
        <w:rPr>
          <w:b/>
        </w:rPr>
        <w:t>hierarchisés</w:t>
      </w:r>
      <w:proofErr w:type="spellEnd"/>
      <w:r w:rsidR="008F54DB">
        <w:rPr>
          <w:b/>
        </w:rPr>
        <w:t xml:space="preserve"> en importance</w:t>
      </w:r>
      <w:r w:rsidR="007A7F2C">
        <w:rPr>
          <w:b/>
        </w:rPr>
        <w:t>)</w:t>
      </w:r>
    </w:p>
    <w:p w14:paraId="05131129" w14:textId="77777777" w:rsidR="005E4799" w:rsidRDefault="005E4799" w:rsidP="005E4799">
      <w:pPr>
        <w:pStyle w:val="Paragraphedeliste"/>
        <w:numPr>
          <w:ilvl w:val="0"/>
          <w:numId w:val="4"/>
        </w:numPr>
      </w:pPr>
      <w:r>
        <w:t>L’évaluation et la mise à l’abri des MNA</w:t>
      </w:r>
    </w:p>
    <w:p w14:paraId="47861448" w14:textId="77777777" w:rsidR="005E4799" w:rsidRDefault="005E4799" w:rsidP="005E4799">
      <w:pPr>
        <w:pStyle w:val="Paragraphedeliste"/>
        <w:numPr>
          <w:ilvl w:val="0"/>
          <w:numId w:val="4"/>
        </w:numPr>
      </w:pPr>
      <w:r>
        <w:t>Les dispositifs d’</w:t>
      </w:r>
      <w:r w:rsidR="00304696">
        <w:t xml:space="preserve">accueil en </w:t>
      </w:r>
      <w:r>
        <w:t xml:space="preserve">urgence en protection de l’enfance et les services experts associant du </w:t>
      </w:r>
      <w:r w:rsidR="00304696">
        <w:t xml:space="preserve">soin et du </w:t>
      </w:r>
      <w:r>
        <w:t xml:space="preserve">médico-social </w:t>
      </w:r>
    </w:p>
    <w:p w14:paraId="7DC4E572" w14:textId="77777777" w:rsidR="007A7F2C" w:rsidRDefault="007A7F2C" w:rsidP="005E4799">
      <w:pPr>
        <w:pStyle w:val="Paragraphedeliste"/>
        <w:numPr>
          <w:ilvl w:val="0"/>
          <w:numId w:val="4"/>
        </w:numPr>
      </w:pPr>
      <w:r>
        <w:t>Le réseau des MDPH</w:t>
      </w:r>
    </w:p>
    <w:p w14:paraId="05A337B6" w14:textId="77777777" w:rsidR="007A7F2C" w:rsidRDefault="007A7F2C" w:rsidP="005E4799">
      <w:pPr>
        <w:pStyle w:val="Paragraphedeliste"/>
        <w:numPr>
          <w:ilvl w:val="0"/>
          <w:numId w:val="4"/>
        </w:numPr>
      </w:pPr>
      <w:r>
        <w:t>Les Centres de lutte contre la tuberculose</w:t>
      </w:r>
    </w:p>
    <w:p w14:paraId="619CE6CE" w14:textId="731E0972" w:rsidR="007A7F2C" w:rsidRDefault="007A7F2C" w:rsidP="005E4799">
      <w:pPr>
        <w:pStyle w:val="Paragraphedeliste"/>
        <w:numPr>
          <w:ilvl w:val="0"/>
          <w:numId w:val="4"/>
        </w:numPr>
      </w:pPr>
      <w:r>
        <w:t>Le pilotage des centres de santé anonymes et gratuit et tout service spécialisé dans la lutte contre les addictions, les violences faites aux femmes et aux enfants</w:t>
      </w:r>
    </w:p>
    <w:p w14:paraId="5B4F54AF" w14:textId="77777777" w:rsidR="005E4799" w:rsidRDefault="005E4799" w:rsidP="005E4799">
      <w:pPr>
        <w:pStyle w:val="Paragraphedeliste"/>
        <w:numPr>
          <w:ilvl w:val="0"/>
          <w:numId w:val="4"/>
        </w:numPr>
      </w:pPr>
      <w:r>
        <w:t>L</w:t>
      </w:r>
      <w:r w:rsidR="00304696">
        <w:t>’offre en</w:t>
      </w:r>
      <w:r>
        <w:t xml:space="preserve"> établissements spécialisés pour les personnes en situation de handicap et pour les personnes âgées dépendantes</w:t>
      </w:r>
    </w:p>
    <w:p w14:paraId="0D70B457" w14:textId="77777777" w:rsidR="005E4799" w:rsidRDefault="00304696" w:rsidP="005E4799">
      <w:pPr>
        <w:pStyle w:val="Paragraphedeliste"/>
        <w:numPr>
          <w:ilvl w:val="0"/>
          <w:numId w:val="4"/>
        </w:numPr>
      </w:pPr>
      <w:r>
        <w:t>L’organisation et la répartition des services de proximité sur les zones limitrophes à plusieurs départements. (décloisonnant ainsi la séparation administrative)</w:t>
      </w:r>
    </w:p>
    <w:p w14:paraId="37C31D43" w14:textId="77777777" w:rsidR="00304696" w:rsidRDefault="00304696" w:rsidP="005E4799">
      <w:pPr>
        <w:pStyle w:val="Paragraphedeliste"/>
        <w:numPr>
          <w:ilvl w:val="0"/>
          <w:numId w:val="4"/>
        </w:numPr>
      </w:pPr>
      <w:r>
        <w:t xml:space="preserve">L’offre d’insertion à destination des jeunes et des Bénéficiaires du RSA </w:t>
      </w:r>
      <w:proofErr w:type="gramStart"/>
      <w:r>
        <w:t>( à</w:t>
      </w:r>
      <w:proofErr w:type="gramEnd"/>
      <w:r>
        <w:t xml:space="preserve"> l’instar des offres d’emploi en IAE)</w:t>
      </w:r>
    </w:p>
    <w:p w14:paraId="53465AE5" w14:textId="0B9EFBE3" w:rsidR="00304696" w:rsidRDefault="00304696" w:rsidP="005E4799">
      <w:pPr>
        <w:pStyle w:val="Paragraphedeliste"/>
        <w:numPr>
          <w:ilvl w:val="0"/>
          <w:numId w:val="4"/>
        </w:numPr>
      </w:pPr>
      <w:r>
        <w:t>Toutes les fonctions d’expertise : AAP</w:t>
      </w:r>
      <w:r w:rsidR="00FC1B70">
        <w:t xml:space="preserve"> </w:t>
      </w:r>
      <w:r w:rsidR="008349D9" w:rsidRPr="00D473C4">
        <w:t>(appels à projets)</w:t>
      </w:r>
      <w:r w:rsidRPr="00D473C4">
        <w:t xml:space="preserve">, </w:t>
      </w:r>
      <w:r w:rsidR="00387F2B" w:rsidRPr="00D473C4">
        <w:t xml:space="preserve">inspections, </w:t>
      </w:r>
      <w:r>
        <w:t>contrôle de gestion, évaluation, innovations managériales, évolution des pratiques…</w:t>
      </w:r>
    </w:p>
    <w:p w14:paraId="4D19EEF0" w14:textId="77777777" w:rsidR="00BD6284" w:rsidRDefault="00BD6284" w:rsidP="00BD6284">
      <w:pPr>
        <w:pStyle w:val="Paragraphedeliste"/>
      </w:pPr>
    </w:p>
    <w:p w14:paraId="76F04EAB" w14:textId="38C6BAD1" w:rsidR="00B44E58" w:rsidRDefault="00EB102E" w:rsidP="00EB102E">
      <w:pPr>
        <w:pStyle w:val="Paragraphedeliste"/>
        <w:numPr>
          <w:ilvl w:val="0"/>
          <w:numId w:val="5"/>
        </w:numPr>
      </w:pPr>
      <w:r w:rsidRPr="00EB102E">
        <w:rPr>
          <w:b/>
        </w:rPr>
        <w:t>Le troisième qu’on pourrait qualifier de « décloisonnement transversal historique»</w:t>
      </w:r>
      <w:r>
        <w:t xml:space="preserve"> consiste à impliquer les autres acteurs. Notons que ce scénario </w:t>
      </w:r>
      <w:r w:rsidR="00C64B90">
        <w:t xml:space="preserve">est </w:t>
      </w:r>
      <w:r w:rsidR="00D473C4">
        <w:t xml:space="preserve">compatible avec les 2 premiers  et </w:t>
      </w:r>
      <w:r w:rsidR="00D473C4" w:rsidRPr="00D473C4">
        <w:rPr>
          <w:b/>
          <w:color w:val="4F6228" w:themeColor="accent3" w:themeShade="80"/>
        </w:rPr>
        <w:t>peut s’inscrire dans la dynamique collaborative de construction en ouvrant le champ des compositions locales.</w:t>
      </w:r>
      <w:r w:rsidR="00D473C4" w:rsidRPr="00D473C4">
        <w:rPr>
          <w:color w:val="4F6228" w:themeColor="accent3" w:themeShade="80"/>
        </w:rPr>
        <w:t xml:space="preserve"> </w:t>
      </w:r>
      <w:r w:rsidR="00D473C4">
        <w:t xml:space="preserve">Il est également </w:t>
      </w:r>
      <w:r w:rsidR="00C64B90">
        <w:t xml:space="preserve">assez proche dans la philosophie </w:t>
      </w:r>
      <w:r>
        <w:t xml:space="preserve"> </w:t>
      </w:r>
      <w:r w:rsidR="00C64B90">
        <w:t>de</w:t>
      </w:r>
      <w:r>
        <w:t xml:space="preserve"> celui </w:t>
      </w:r>
      <w:proofErr w:type="gramStart"/>
      <w:r w:rsidR="008F54DB">
        <w:t>( Département</w:t>
      </w:r>
      <w:proofErr w:type="gramEnd"/>
      <w:r w:rsidR="008F54DB">
        <w:t xml:space="preserve"> pilote des Solidarités intégrant les politiques qui participent à l’inclusion et à l’insertion dans la société) </w:t>
      </w:r>
      <w:r>
        <w:t xml:space="preserve">proposé par Mathieu Klein (président du CD 54 et Joëlle </w:t>
      </w:r>
      <w:proofErr w:type="spellStart"/>
      <w:r w:rsidR="00387F2B" w:rsidRPr="00D473C4">
        <w:t>Martinaux</w:t>
      </w:r>
      <w:proofErr w:type="spellEnd"/>
      <w:r w:rsidRPr="00D473C4">
        <w:t xml:space="preserve">, </w:t>
      </w:r>
      <w:r>
        <w:t>présidente de l’ UNC</w:t>
      </w:r>
      <w:r w:rsidR="008F54DB">
        <w:t>C</w:t>
      </w:r>
      <w:r>
        <w:t>ASS) co-pilote</w:t>
      </w:r>
      <w:r w:rsidR="00C64B90">
        <w:t>s</w:t>
      </w:r>
      <w:r>
        <w:t xml:space="preserve"> du groupe sur la Gouvernance au sein des ateliers concernant la Stratégie de</w:t>
      </w:r>
      <w:r w:rsidR="00316E77">
        <w:t xml:space="preserve"> </w:t>
      </w:r>
      <w:r w:rsidR="00316E77" w:rsidRPr="00D473C4">
        <w:t xml:space="preserve">prévention et de </w:t>
      </w:r>
      <w:r w:rsidRPr="00D473C4">
        <w:t xml:space="preserve"> </w:t>
      </w:r>
      <w:r>
        <w:t>lutte contre la pauvreté (O. Noblecourt).</w:t>
      </w:r>
      <w:r w:rsidR="00816E0C">
        <w:t xml:space="preserve"> Il rejoint également le projet à l’étude  impuls</w:t>
      </w:r>
      <w:r w:rsidR="00D473C4">
        <w:t>é par le CD 28 et relayé par l’</w:t>
      </w:r>
      <w:r w:rsidR="00816E0C">
        <w:t>ADF autour du concept d’agence départementale des solidarités susceptible de mobiliser des institutions telles que CAF, Pôle emploi, les CCAS, les services de la DDCS  autour du Département.</w:t>
      </w:r>
    </w:p>
    <w:p w14:paraId="7C06DC05" w14:textId="77777777" w:rsidR="00816E0C" w:rsidRDefault="00816E0C" w:rsidP="00816E0C">
      <w:pPr>
        <w:pStyle w:val="Paragraphedeliste"/>
        <w:ind w:left="1080"/>
        <w:rPr>
          <w:b/>
        </w:rPr>
      </w:pPr>
    </w:p>
    <w:p w14:paraId="2E33AD38" w14:textId="240CD3C8" w:rsidR="00816E0C" w:rsidRDefault="00187616" w:rsidP="00816E0C">
      <w:pPr>
        <w:pStyle w:val="Paragraphedeliste"/>
        <w:ind w:left="1080"/>
        <w:rPr>
          <w:b/>
        </w:rPr>
      </w:pPr>
      <w:r>
        <w:rPr>
          <w:b/>
        </w:rPr>
        <w:t xml:space="preserve">Ce principe </w:t>
      </w:r>
      <w:r w:rsidR="00816E0C">
        <w:rPr>
          <w:b/>
        </w:rPr>
        <w:t>se retrouve dans l’esprit de  l’article 51 de la LFSS 2018 en ce qu’il permet de souplesse et de déro</w:t>
      </w:r>
      <w:r w:rsidR="00816E0C" w:rsidRPr="00D473C4">
        <w:rPr>
          <w:b/>
        </w:rPr>
        <w:t>g</w:t>
      </w:r>
      <w:r w:rsidR="00784542" w:rsidRPr="00D473C4">
        <w:rPr>
          <w:b/>
        </w:rPr>
        <w:t>ation</w:t>
      </w:r>
      <w:r w:rsidR="00816E0C">
        <w:rPr>
          <w:b/>
        </w:rPr>
        <w:t xml:space="preserve"> au cadre classique appelant à l’inventivité. </w:t>
      </w:r>
    </w:p>
    <w:p w14:paraId="0F890B7F" w14:textId="77777777" w:rsidR="00816E0C" w:rsidRDefault="00187616" w:rsidP="00816E0C">
      <w:pPr>
        <w:pStyle w:val="Paragraphedeliste"/>
        <w:ind w:left="1080"/>
      </w:pPr>
      <w:r>
        <w:rPr>
          <w:b/>
        </w:rPr>
        <w:t xml:space="preserve">Il épouse la dynamique de  </w:t>
      </w:r>
      <w:r w:rsidR="00816E0C">
        <w:rPr>
          <w:b/>
        </w:rPr>
        <w:t xml:space="preserve"> l’article 72 de la Constitution </w:t>
      </w:r>
      <w:r>
        <w:rPr>
          <w:b/>
        </w:rPr>
        <w:t>qui ouvre droit à expérimentation.</w:t>
      </w:r>
    </w:p>
    <w:p w14:paraId="178ACBEC" w14:textId="77777777" w:rsidR="00EB102E" w:rsidRDefault="00EB102E" w:rsidP="00B44E58">
      <w:pPr>
        <w:pStyle w:val="Paragraphedeliste"/>
      </w:pPr>
    </w:p>
    <w:p w14:paraId="42BDECD5" w14:textId="77777777" w:rsidR="007A7F2C" w:rsidRDefault="00187616" w:rsidP="00187616">
      <w:pPr>
        <w:pStyle w:val="Paragraphedeliste"/>
        <w:ind w:left="1080"/>
      </w:pPr>
      <w:r>
        <w:t>« Dans les conditions prévues par la loi organique, et sauf lorsque sont en cause les conditions essentielles d'exercice d'une liberté publique ou d'un droit constitutionnellement garanti, les collectivités territoriales ou leurs groupements peuvent, lorsque, selon le cas, la loi ou le règlement l'a prévu, déroger, à titre expérimental et pour un objet et une durée limités, aux dispositions législatives ou réglementaires qui régissent l'exercice de leurs compétences. »</w:t>
      </w:r>
    </w:p>
    <w:p w14:paraId="0B3387E4" w14:textId="77777777" w:rsidR="007A7F2C" w:rsidRDefault="007A7F2C" w:rsidP="00187616">
      <w:pPr>
        <w:pStyle w:val="Paragraphedeliste"/>
        <w:ind w:left="1080"/>
      </w:pPr>
    </w:p>
    <w:p w14:paraId="1383BFAC" w14:textId="6F715D89" w:rsidR="008F54DB" w:rsidRPr="00C85096" w:rsidRDefault="008F54DB" w:rsidP="00187616">
      <w:pPr>
        <w:pStyle w:val="Paragraphedeliste"/>
        <w:ind w:left="1080"/>
      </w:pPr>
      <w:r w:rsidRPr="008F54DB">
        <w:rPr>
          <w:b/>
        </w:rPr>
        <w:t>Un nécessaire accompagnement de la démarche :</w:t>
      </w:r>
      <w:r w:rsidRPr="00C85096">
        <w:t xml:space="preserve"> Dans un scenario laissant un peu de temps au temps, autrement dit à la négociation et à l’appropriation, l’</w:t>
      </w:r>
      <w:proofErr w:type="spellStart"/>
      <w:r w:rsidRPr="00C85096">
        <w:t>Etat</w:t>
      </w:r>
      <w:proofErr w:type="spellEnd"/>
      <w:r w:rsidRPr="00C85096">
        <w:t xml:space="preserve"> pourrait diligenter un vaste marché public national de prestations d’accompagnement pour faciliter l’</w:t>
      </w:r>
      <w:r w:rsidR="00C85096" w:rsidRPr="00C85096">
        <w:t>émergence</w:t>
      </w:r>
      <w:r w:rsidRPr="00C85096">
        <w:t xml:space="preserve"> </w:t>
      </w:r>
      <w:r w:rsidR="00C85096" w:rsidRPr="00C85096">
        <w:t xml:space="preserve">et l’aboutissement  </w:t>
      </w:r>
      <w:r w:rsidRPr="00C85096">
        <w:t>de ces pro</w:t>
      </w:r>
      <w:r w:rsidR="00C85096" w:rsidRPr="00C85096">
        <w:t>jets territoriaux.</w:t>
      </w:r>
      <w:r w:rsidR="00C85096" w:rsidRPr="00C85096">
        <w:rPr>
          <w:b/>
          <w:color w:val="4F6228" w:themeColor="accent3" w:themeShade="80"/>
        </w:rPr>
        <w:t xml:space="preserve"> Il incarnerait de ce fait une place rénovée de son action, en qualité de facilitateur</w:t>
      </w:r>
      <w:r w:rsidR="00C85096">
        <w:rPr>
          <w:b/>
          <w:color w:val="4F6228" w:themeColor="accent3" w:themeShade="80"/>
        </w:rPr>
        <w:t xml:space="preserve"> et de soutien</w:t>
      </w:r>
      <w:r w:rsidR="00C85096" w:rsidRPr="00C85096">
        <w:rPr>
          <w:b/>
          <w:color w:val="4F6228" w:themeColor="accent3" w:themeShade="80"/>
        </w:rPr>
        <w:t>.</w:t>
      </w:r>
      <w:r w:rsidR="00C85096" w:rsidRPr="00C85096">
        <w:rPr>
          <w:color w:val="4F6228" w:themeColor="accent3" w:themeShade="80"/>
        </w:rPr>
        <w:t xml:space="preserve"> </w:t>
      </w:r>
    </w:p>
    <w:p w14:paraId="0BD02FC6" w14:textId="77777777" w:rsidR="00C85096" w:rsidRPr="00C85096" w:rsidRDefault="00C85096" w:rsidP="00187616">
      <w:pPr>
        <w:pStyle w:val="Paragraphedeliste"/>
        <w:ind w:left="1080"/>
      </w:pPr>
    </w:p>
    <w:p w14:paraId="4DDF9029" w14:textId="6934F86C" w:rsidR="00C85096" w:rsidRPr="00C85096" w:rsidRDefault="00C85096" w:rsidP="00187616">
      <w:pPr>
        <w:pStyle w:val="Paragraphedeliste"/>
        <w:ind w:left="1080"/>
      </w:pPr>
      <w:r w:rsidRPr="00C85096">
        <w:t>Cette action de vaste ampleur pourrait être pilotée par une Agence Nationale des Territoires, impliquant des représentants des trois associations d’élus à sa gouvernance.</w:t>
      </w:r>
    </w:p>
    <w:p w14:paraId="204CDF80" w14:textId="5727445E" w:rsidR="00C85096" w:rsidRDefault="00C85096" w:rsidP="00187616">
      <w:pPr>
        <w:pStyle w:val="Paragraphedeliste"/>
        <w:ind w:left="1080"/>
      </w:pPr>
      <w:r w:rsidRPr="00C85096">
        <w:t>Elle pourrait prendre appui sur les entités régionales de l’</w:t>
      </w:r>
      <w:proofErr w:type="spellStart"/>
      <w:r w:rsidRPr="00C85096">
        <w:t>Etat</w:t>
      </w:r>
      <w:proofErr w:type="spellEnd"/>
      <w:r w:rsidRPr="00C85096">
        <w:t>, regroupées et consolidées sur les fonctions d’</w:t>
      </w:r>
      <w:r>
        <w:t xml:space="preserve">ingénierie et aptes à mobiliser les différentes composantes sur leurs compétences au profit des projets territoriaux (ARS, Rectorat, Hauts –Commissariats, </w:t>
      </w:r>
      <w:r w:rsidR="00E92C62">
        <w:t xml:space="preserve">représentants JS, DRPJJ </w:t>
      </w:r>
      <w:r>
        <w:t>…)</w:t>
      </w:r>
    </w:p>
    <w:p w14:paraId="3617B139" w14:textId="77777777" w:rsidR="00C85096" w:rsidRDefault="00C85096" w:rsidP="00187616">
      <w:pPr>
        <w:pStyle w:val="Paragraphedeliste"/>
        <w:ind w:left="1080"/>
      </w:pPr>
    </w:p>
    <w:p w14:paraId="45F6A495" w14:textId="1AA07108" w:rsidR="00C85096" w:rsidRPr="00C85096" w:rsidRDefault="00C85096" w:rsidP="00187616">
      <w:pPr>
        <w:pStyle w:val="Paragraphedeliste"/>
        <w:ind w:left="1080"/>
      </w:pPr>
      <w:r>
        <w:t>Dans l’hypothèse où le Pacte de Cahors serait enrichi</w:t>
      </w:r>
      <w:r w:rsidR="00E92C62">
        <w:t xml:space="preserve">, </w:t>
      </w:r>
      <w:r>
        <w:t xml:space="preserve"> dans une nouvelle version</w:t>
      </w:r>
      <w:r w:rsidR="00E92C62">
        <w:t xml:space="preserve">, </w:t>
      </w:r>
      <w:bookmarkStart w:id="0" w:name="_GoBack"/>
      <w:bookmarkEnd w:id="0"/>
      <w:r>
        <w:t xml:space="preserve"> de contrats spécifiques (autonomie, protection de l’enfance</w:t>
      </w:r>
      <w:r w:rsidR="00E92C62">
        <w:t>, lutte contre la pauvreté)</w:t>
      </w:r>
      <w:r>
        <w:t xml:space="preserve">, cette agence </w:t>
      </w:r>
      <w:r w:rsidR="00E92C62">
        <w:t>et ses relais régionaux pourraient en assurer la cohérence et le suivi par une forte intégration au projet global dans un pilotage conjoint avec les Départements ou entités délégataires)</w:t>
      </w:r>
    </w:p>
    <w:p w14:paraId="7E0257D1" w14:textId="77777777" w:rsidR="00C85096" w:rsidRPr="008F54DB" w:rsidRDefault="00C85096" w:rsidP="00187616">
      <w:pPr>
        <w:pStyle w:val="Paragraphedeliste"/>
        <w:ind w:left="1080"/>
        <w:rPr>
          <w:b/>
        </w:rPr>
      </w:pPr>
    </w:p>
    <w:p w14:paraId="52F0E781" w14:textId="5BC79A9F" w:rsidR="00187616" w:rsidRDefault="00187616" w:rsidP="00187616">
      <w:pPr>
        <w:pStyle w:val="Paragraphedeliste"/>
        <w:ind w:left="1080"/>
      </w:pPr>
      <w:r w:rsidRPr="00CA36D3">
        <w:rPr>
          <w:b/>
        </w:rPr>
        <w:lastRenderedPageBreak/>
        <w:t>En conclusion :</w:t>
      </w:r>
      <w:r>
        <w:t xml:space="preserve"> ces scenarios sont </w:t>
      </w:r>
      <w:r w:rsidR="008F54DB">
        <w:t xml:space="preserve">certes </w:t>
      </w:r>
      <w:r>
        <w:t>ambitieux mais</w:t>
      </w:r>
      <w:r w:rsidRPr="008F54DB">
        <w:rPr>
          <w:b/>
          <w:color w:val="4F6228" w:themeColor="accent3" w:themeShade="80"/>
        </w:rPr>
        <w:t xml:space="preserve"> ils sont dans l’air du temps</w:t>
      </w:r>
      <w:r>
        <w:t xml:space="preserve">. Beaucoup y pensent, certains s’y essayent. </w:t>
      </w:r>
      <w:r w:rsidR="000368F6" w:rsidRPr="00D473C4">
        <w:t>L</w:t>
      </w:r>
      <w:r>
        <w:t xml:space="preserve">a complexité apparente </w:t>
      </w:r>
      <w:r w:rsidR="00D473C4">
        <w:t xml:space="preserve">de l’architecture </w:t>
      </w:r>
      <w:r>
        <w:t>soc</w:t>
      </w:r>
      <w:r w:rsidR="00BA20EA">
        <w:t>ial</w:t>
      </w:r>
      <w:r w:rsidR="00D473C4">
        <w:t>e</w:t>
      </w:r>
      <w:r w:rsidR="00BA20EA">
        <w:t>, médico-social</w:t>
      </w:r>
      <w:r w:rsidR="00D473C4">
        <w:t>e</w:t>
      </w:r>
      <w:r w:rsidR="00BA20EA">
        <w:t xml:space="preserve"> et de santé sera toujours un frein aux évolutions et aux projets les plus </w:t>
      </w:r>
      <w:r w:rsidR="00D473C4">
        <w:t>audacieux.</w:t>
      </w:r>
      <w:r w:rsidR="008F54DB">
        <w:t xml:space="preserve"> Sans compter que les professionnels du secteur social sont très sensibles au sens et aux impacts sur leur métier et sur les usagers de tout projet d’organisation ou affectant le cœur de la mission.</w:t>
      </w:r>
    </w:p>
    <w:p w14:paraId="4640F8BB" w14:textId="4592EF28" w:rsidR="00C50412" w:rsidRPr="00C50412" w:rsidRDefault="00032724" w:rsidP="00C50412">
      <w:pPr>
        <w:pStyle w:val="Paragraphedeliste"/>
        <w:ind w:left="1080"/>
        <w:rPr>
          <w:b/>
          <w:color w:val="76923C" w:themeColor="accent3" w:themeShade="BF"/>
        </w:rPr>
      </w:pPr>
      <w:r w:rsidRPr="00D473C4">
        <w:rPr>
          <w:b/>
          <w:color w:val="76923C" w:themeColor="accent3" w:themeShade="BF"/>
        </w:rPr>
        <w:t>La délégation et l’exercice des compétences doit s’adapter à la réalité et à la diversité des territoires</w:t>
      </w:r>
      <w:r w:rsidR="00F561A4" w:rsidRPr="00D473C4">
        <w:rPr>
          <w:b/>
          <w:color w:val="76923C" w:themeColor="accent3" w:themeShade="BF"/>
        </w:rPr>
        <w:t xml:space="preserve">. C’est le projet construit et partagé, expérimenté et évalué </w:t>
      </w:r>
      <w:r w:rsidR="00D71DAF" w:rsidRPr="00D473C4">
        <w:rPr>
          <w:b/>
          <w:color w:val="76923C" w:themeColor="accent3" w:themeShade="BF"/>
        </w:rPr>
        <w:t xml:space="preserve">qui doit guider l’action. La participation des personnes et des corps </w:t>
      </w:r>
      <w:r w:rsidR="00797559" w:rsidRPr="00D473C4">
        <w:rPr>
          <w:b/>
          <w:color w:val="76923C" w:themeColor="accent3" w:themeShade="BF"/>
        </w:rPr>
        <w:t>intermédiaires à la construction de ces projets doit être organisée. L’investissement social</w:t>
      </w:r>
      <w:r w:rsidR="003128DF" w:rsidRPr="00D473C4">
        <w:rPr>
          <w:b/>
          <w:color w:val="76923C" w:themeColor="accent3" w:themeShade="BF"/>
        </w:rPr>
        <w:t>, méthodique et organisationnel</w:t>
      </w:r>
      <w:r w:rsidR="00797559" w:rsidRPr="00D473C4">
        <w:rPr>
          <w:b/>
          <w:color w:val="76923C" w:themeColor="accent3" w:themeShade="BF"/>
        </w:rPr>
        <w:t xml:space="preserve"> doit </w:t>
      </w:r>
      <w:r w:rsidR="003128DF" w:rsidRPr="00D473C4">
        <w:rPr>
          <w:b/>
          <w:color w:val="76923C" w:themeColor="accent3" w:themeShade="BF"/>
        </w:rPr>
        <w:t xml:space="preserve">être </w:t>
      </w:r>
      <w:r w:rsidR="00797559" w:rsidRPr="00D473C4">
        <w:rPr>
          <w:b/>
          <w:color w:val="76923C" w:themeColor="accent3" w:themeShade="BF"/>
        </w:rPr>
        <w:t>accompagn</w:t>
      </w:r>
      <w:r w:rsidR="003128DF" w:rsidRPr="00D473C4">
        <w:rPr>
          <w:b/>
          <w:color w:val="76923C" w:themeColor="accent3" w:themeShade="BF"/>
        </w:rPr>
        <w:t>é par l’Etat</w:t>
      </w:r>
      <w:r w:rsidR="00622289" w:rsidRPr="00D473C4">
        <w:rPr>
          <w:b/>
          <w:color w:val="76923C" w:themeColor="accent3" w:themeShade="BF"/>
        </w:rPr>
        <w:t xml:space="preserve"> (le modèle d’intervention de l’État dans le programme beta.gouv est inspirant) et être récompensé en partageant les bénéfices produits par l’intelligence collective, la coopération et le co-développement plutôt que la compétition des territoires.</w:t>
      </w:r>
    </w:p>
    <w:p w14:paraId="21C27F72" w14:textId="05F57F0C" w:rsidR="00CF2874" w:rsidRPr="00CF2874" w:rsidRDefault="00BA20EA" w:rsidP="00CF2874">
      <w:pPr>
        <w:pStyle w:val="Paragraphedeliste"/>
        <w:ind w:left="1080"/>
        <w:rPr>
          <w:b/>
          <w:color w:val="76923C" w:themeColor="accent3" w:themeShade="BF"/>
        </w:rPr>
      </w:pPr>
      <w:r w:rsidRPr="00CF2874">
        <w:rPr>
          <w:b/>
          <w:color w:val="76923C" w:themeColor="accent3" w:themeShade="BF"/>
        </w:rPr>
        <w:t>Espérant beaucoup dans une révolution du mode de penser et de faire l’action publique,</w:t>
      </w:r>
      <w:r w:rsidRPr="00CF2874">
        <w:rPr>
          <w:color w:val="76923C" w:themeColor="accent3" w:themeShade="BF"/>
        </w:rPr>
        <w:t xml:space="preserve"> </w:t>
      </w:r>
      <w:r w:rsidR="00CF2874">
        <w:t>l’</w:t>
      </w:r>
      <w:r w:rsidR="00CF2874" w:rsidRPr="00CF2874">
        <w:rPr>
          <w:b/>
        </w:rPr>
        <w:t>ANDASS</w:t>
      </w:r>
      <w:r w:rsidR="00CF2874">
        <w:t xml:space="preserve">  n’a pas souhaité développer plus avant la question des transferts classiques d’autres compétences. Elle est cependant en capacité </w:t>
      </w:r>
      <w:r w:rsidR="00C50412">
        <w:t xml:space="preserve">de s’associer le moment venu à la réflexion sur des sujets qui le mériteraient </w:t>
      </w:r>
      <w:r w:rsidR="00CF2874">
        <w:t xml:space="preserve"> tels que </w:t>
      </w:r>
      <w:r w:rsidR="00C85096">
        <w:t xml:space="preserve">(et sans </w:t>
      </w:r>
      <w:proofErr w:type="spellStart"/>
      <w:r w:rsidR="00C85096">
        <w:t>hierarchisation</w:t>
      </w:r>
      <w:proofErr w:type="spellEnd"/>
      <w:r w:rsidR="00C85096">
        <w:t>)</w:t>
      </w:r>
      <w:r w:rsidR="00CF2874">
        <w:t>:</w:t>
      </w:r>
    </w:p>
    <w:p w14:paraId="468FD864" w14:textId="0778834E" w:rsidR="00CA36D3" w:rsidRDefault="00BA20EA" w:rsidP="00C50412">
      <w:pPr>
        <w:pStyle w:val="Paragraphedeliste"/>
        <w:ind w:left="1080"/>
      </w:pPr>
      <w:r>
        <w:t xml:space="preserve">Le handicap enfant, la gestion des enveloppes d’assurance maladie sur le champ du grand-âge et de l’autonomie,  le travail social en faveur des élèves de collège, la </w:t>
      </w:r>
      <w:r w:rsidR="00CA36D3">
        <w:t>gestion</w:t>
      </w:r>
      <w:r>
        <w:t xml:space="preserve"> d</w:t>
      </w:r>
      <w:r w:rsidR="00CA36D3">
        <w:t>es ESAT, les enveloppes soin déléguées sur la tuberculose, le RSA et</w:t>
      </w:r>
      <w:r w:rsidR="00CF2874">
        <w:t xml:space="preserve"> les politiques d’insertion, l’</w:t>
      </w:r>
      <w:r w:rsidR="00CA36D3">
        <w:t>IAE, la partition entre PJJ et ASE (les doubles habilitations de services d’hébergement et de milieu ouvert..) etc…</w:t>
      </w:r>
      <w:r w:rsidR="00CF2874" w:rsidRPr="00C50412">
        <w:rPr>
          <w:b/>
        </w:rPr>
        <w:t>L’ ANDASS</w:t>
      </w:r>
      <w:r w:rsidR="00CF2874">
        <w:t xml:space="preserve"> peut également faire des propositions sur</w:t>
      </w:r>
      <w:r w:rsidR="00CA36D3">
        <w:t xml:space="preserve"> les améliorations souhaitables dans des mécanismes nationaux à rénover, incarnant les survivances d’une époque révolue</w:t>
      </w:r>
      <w:r w:rsidR="00CF2874">
        <w:t>.</w:t>
      </w:r>
      <w:r w:rsidR="00CA36D3">
        <w:t xml:space="preserve"> </w:t>
      </w:r>
    </w:p>
    <w:p w14:paraId="176D5E5B" w14:textId="77777777" w:rsidR="00BA20EA" w:rsidRDefault="00BA20EA" w:rsidP="00BA20EA">
      <w:pPr>
        <w:pStyle w:val="Paragraphedeliste"/>
        <w:ind w:left="1080"/>
      </w:pPr>
    </w:p>
    <w:p w14:paraId="59C97D5B" w14:textId="77777777" w:rsidR="00BA20EA" w:rsidRDefault="00BA20EA" w:rsidP="00BA20EA">
      <w:pPr>
        <w:pStyle w:val="Paragraphedeliste"/>
        <w:ind w:left="1080"/>
      </w:pPr>
    </w:p>
    <w:p w14:paraId="351BA602" w14:textId="50D9A049" w:rsidR="00C50412" w:rsidRPr="00BE6635" w:rsidRDefault="00C50412" w:rsidP="00C50412">
      <w:pPr>
        <w:pStyle w:val="Paragraphedeliste"/>
        <w:ind w:left="1080"/>
      </w:pPr>
      <w:r>
        <w:t>Contacts : JP Raymond président de l’</w:t>
      </w:r>
      <w:proofErr w:type="spellStart"/>
      <w:r>
        <w:t>Andass</w:t>
      </w:r>
      <w:proofErr w:type="spellEnd"/>
      <w:r>
        <w:t xml:space="preserve"> et Roland Giraud Délégué aux partenariats</w:t>
      </w:r>
    </w:p>
    <w:sectPr w:rsidR="00C50412" w:rsidRPr="00BE6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431"/>
    <w:multiLevelType w:val="hybridMultilevel"/>
    <w:tmpl w:val="CFC2F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F76311"/>
    <w:multiLevelType w:val="hybridMultilevel"/>
    <w:tmpl w:val="7ED8A5CE"/>
    <w:lvl w:ilvl="0" w:tplc="0AA81E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D35379C"/>
    <w:multiLevelType w:val="hybridMultilevel"/>
    <w:tmpl w:val="35AEC9E0"/>
    <w:lvl w:ilvl="0" w:tplc="36B2CF6E">
      <w:start w:val="1"/>
      <w:numFmt w:val="upperLetter"/>
      <w:lvlText w:val="%1."/>
      <w:lvlJc w:val="left"/>
      <w:pPr>
        <w:ind w:left="108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A442E7"/>
    <w:multiLevelType w:val="hybridMultilevel"/>
    <w:tmpl w:val="DA4C4B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7D76925"/>
    <w:multiLevelType w:val="hybridMultilevel"/>
    <w:tmpl w:val="D760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570FB5"/>
    <w:multiLevelType w:val="hybridMultilevel"/>
    <w:tmpl w:val="8D86C5DC"/>
    <w:lvl w:ilvl="0" w:tplc="B65426BC">
      <w:start w:val="2"/>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75C601FD"/>
    <w:multiLevelType w:val="hybridMultilevel"/>
    <w:tmpl w:val="7A9C41B8"/>
    <w:lvl w:ilvl="0" w:tplc="B65426BC">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CA21B22"/>
    <w:multiLevelType w:val="hybridMultilevel"/>
    <w:tmpl w:val="3ED00EA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02"/>
    <w:rsid w:val="000048C7"/>
    <w:rsid w:val="00007260"/>
    <w:rsid w:val="00020DDE"/>
    <w:rsid w:val="00032724"/>
    <w:rsid w:val="000368F6"/>
    <w:rsid w:val="00053C35"/>
    <w:rsid w:val="00066CF8"/>
    <w:rsid w:val="000755CF"/>
    <w:rsid w:val="00082716"/>
    <w:rsid w:val="00126851"/>
    <w:rsid w:val="00153700"/>
    <w:rsid w:val="00184CD8"/>
    <w:rsid w:val="00187616"/>
    <w:rsid w:val="00193472"/>
    <w:rsid w:val="001D1B64"/>
    <w:rsid w:val="00223A58"/>
    <w:rsid w:val="00263947"/>
    <w:rsid w:val="0027360C"/>
    <w:rsid w:val="002B52AB"/>
    <w:rsid w:val="002C4748"/>
    <w:rsid w:val="00302171"/>
    <w:rsid w:val="00304696"/>
    <w:rsid w:val="00307764"/>
    <w:rsid w:val="003128DF"/>
    <w:rsid w:val="00316E77"/>
    <w:rsid w:val="00321E89"/>
    <w:rsid w:val="00367846"/>
    <w:rsid w:val="0038713D"/>
    <w:rsid w:val="00387F2B"/>
    <w:rsid w:val="003956F7"/>
    <w:rsid w:val="003A6470"/>
    <w:rsid w:val="003A703B"/>
    <w:rsid w:val="003E2A46"/>
    <w:rsid w:val="00430BAC"/>
    <w:rsid w:val="00436DB6"/>
    <w:rsid w:val="00445B93"/>
    <w:rsid w:val="004A43D4"/>
    <w:rsid w:val="004A472F"/>
    <w:rsid w:val="004D5A7B"/>
    <w:rsid w:val="004F64D8"/>
    <w:rsid w:val="004F7235"/>
    <w:rsid w:val="00501E5A"/>
    <w:rsid w:val="00502DEE"/>
    <w:rsid w:val="00557DFF"/>
    <w:rsid w:val="005B1265"/>
    <w:rsid w:val="005C2CD5"/>
    <w:rsid w:val="005C718F"/>
    <w:rsid w:val="005D69C5"/>
    <w:rsid w:val="005E4799"/>
    <w:rsid w:val="005F14EE"/>
    <w:rsid w:val="00611E25"/>
    <w:rsid w:val="00617451"/>
    <w:rsid w:val="00622289"/>
    <w:rsid w:val="00635344"/>
    <w:rsid w:val="006354A6"/>
    <w:rsid w:val="0064305E"/>
    <w:rsid w:val="006633F4"/>
    <w:rsid w:val="006B594B"/>
    <w:rsid w:val="00784542"/>
    <w:rsid w:val="00797559"/>
    <w:rsid w:val="007A7F2C"/>
    <w:rsid w:val="007C36CF"/>
    <w:rsid w:val="007E7FCF"/>
    <w:rsid w:val="007F424E"/>
    <w:rsid w:val="007F652B"/>
    <w:rsid w:val="007F7C84"/>
    <w:rsid w:val="00816E0C"/>
    <w:rsid w:val="008349D9"/>
    <w:rsid w:val="00883283"/>
    <w:rsid w:val="008C51D1"/>
    <w:rsid w:val="008F54DB"/>
    <w:rsid w:val="00912FD0"/>
    <w:rsid w:val="00967BB1"/>
    <w:rsid w:val="009B6085"/>
    <w:rsid w:val="009D5963"/>
    <w:rsid w:val="009F1858"/>
    <w:rsid w:val="00A11E84"/>
    <w:rsid w:val="00A33111"/>
    <w:rsid w:val="00A60D1C"/>
    <w:rsid w:val="00A67BB5"/>
    <w:rsid w:val="00AA232D"/>
    <w:rsid w:val="00AA78B7"/>
    <w:rsid w:val="00AC03FB"/>
    <w:rsid w:val="00B067DE"/>
    <w:rsid w:val="00B12474"/>
    <w:rsid w:val="00B44E58"/>
    <w:rsid w:val="00B45B2F"/>
    <w:rsid w:val="00B570E9"/>
    <w:rsid w:val="00B71D39"/>
    <w:rsid w:val="00B7320E"/>
    <w:rsid w:val="00B84C41"/>
    <w:rsid w:val="00BA20EA"/>
    <w:rsid w:val="00BC19AF"/>
    <w:rsid w:val="00BD6284"/>
    <w:rsid w:val="00BE6635"/>
    <w:rsid w:val="00C4279F"/>
    <w:rsid w:val="00C50292"/>
    <w:rsid w:val="00C50412"/>
    <w:rsid w:val="00C64B90"/>
    <w:rsid w:val="00C66540"/>
    <w:rsid w:val="00C85096"/>
    <w:rsid w:val="00CA36D3"/>
    <w:rsid w:val="00CF2874"/>
    <w:rsid w:val="00D210C2"/>
    <w:rsid w:val="00D473C4"/>
    <w:rsid w:val="00D71DAF"/>
    <w:rsid w:val="00D92F6A"/>
    <w:rsid w:val="00DA545E"/>
    <w:rsid w:val="00DD2D20"/>
    <w:rsid w:val="00E24998"/>
    <w:rsid w:val="00E742A1"/>
    <w:rsid w:val="00E848A7"/>
    <w:rsid w:val="00E92C62"/>
    <w:rsid w:val="00EA2FD1"/>
    <w:rsid w:val="00EB102E"/>
    <w:rsid w:val="00EC0E8D"/>
    <w:rsid w:val="00EC5402"/>
    <w:rsid w:val="00F13311"/>
    <w:rsid w:val="00F318A6"/>
    <w:rsid w:val="00F561A4"/>
    <w:rsid w:val="00F70E9B"/>
    <w:rsid w:val="00F869A2"/>
    <w:rsid w:val="00F940F1"/>
    <w:rsid w:val="00FA409B"/>
    <w:rsid w:val="00FA4F76"/>
    <w:rsid w:val="00FA78CF"/>
    <w:rsid w:val="00FC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402"/>
    <w:rPr>
      <w:rFonts w:ascii="Tahoma" w:hAnsi="Tahoma" w:cs="Tahoma"/>
      <w:sz w:val="16"/>
      <w:szCs w:val="16"/>
    </w:rPr>
  </w:style>
  <w:style w:type="paragraph" w:styleId="Paragraphedeliste">
    <w:name w:val="List Paragraph"/>
    <w:basedOn w:val="Normal"/>
    <w:uiPriority w:val="34"/>
    <w:qFormat/>
    <w:rsid w:val="00BE6635"/>
    <w:pPr>
      <w:ind w:left="720"/>
      <w:contextualSpacing/>
    </w:pPr>
  </w:style>
  <w:style w:type="character" w:styleId="Marquedecommentaire">
    <w:name w:val="annotation reference"/>
    <w:basedOn w:val="Policepardfaut"/>
    <w:uiPriority w:val="99"/>
    <w:semiHidden/>
    <w:unhideWhenUsed/>
    <w:rsid w:val="00B570E9"/>
    <w:rPr>
      <w:sz w:val="16"/>
      <w:szCs w:val="16"/>
    </w:rPr>
  </w:style>
  <w:style w:type="paragraph" w:styleId="Commentaire">
    <w:name w:val="annotation text"/>
    <w:basedOn w:val="Normal"/>
    <w:link w:val="CommentaireCar"/>
    <w:uiPriority w:val="99"/>
    <w:semiHidden/>
    <w:unhideWhenUsed/>
    <w:rsid w:val="00B570E9"/>
    <w:pPr>
      <w:spacing w:line="240" w:lineRule="auto"/>
    </w:pPr>
    <w:rPr>
      <w:sz w:val="20"/>
      <w:szCs w:val="20"/>
    </w:rPr>
  </w:style>
  <w:style w:type="character" w:customStyle="1" w:styleId="CommentaireCar">
    <w:name w:val="Commentaire Car"/>
    <w:basedOn w:val="Policepardfaut"/>
    <w:link w:val="Commentaire"/>
    <w:uiPriority w:val="99"/>
    <w:semiHidden/>
    <w:rsid w:val="00B570E9"/>
    <w:rPr>
      <w:sz w:val="20"/>
      <w:szCs w:val="20"/>
    </w:rPr>
  </w:style>
  <w:style w:type="paragraph" w:styleId="Objetducommentaire">
    <w:name w:val="annotation subject"/>
    <w:basedOn w:val="Commentaire"/>
    <w:next w:val="Commentaire"/>
    <w:link w:val="ObjetducommentaireCar"/>
    <w:uiPriority w:val="99"/>
    <w:semiHidden/>
    <w:unhideWhenUsed/>
    <w:rsid w:val="00B570E9"/>
    <w:rPr>
      <w:b/>
      <w:bCs/>
    </w:rPr>
  </w:style>
  <w:style w:type="character" w:customStyle="1" w:styleId="ObjetducommentaireCar">
    <w:name w:val="Objet du commentaire Car"/>
    <w:basedOn w:val="CommentaireCar"/>
    <w:link w:val="Objetducommentaire"/>
    <w:uiPriority w:val="99"/>
    <w:semiHidden/>
    <w:rsid w:val="00B570E9"/>
    <w:rPr>
      <w:b/>
      <w:bCs/>
      <w:sz w:val="20"/>
      <w:szCs w:val="20"/>
    </w:rPr>
  </w:style>
  <w:style w:type="paragraph" w:styleId="Sansinterligne">
    <w:name w:val="No Spacing"/>
    <w:uiPriority w:val="1"/>
    <w:qFormat/>
    <w:rsid w:val="003A6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4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402"/>
    <w:rPr>
      <w:rFonts w:ascii="Tahoma" w:hAnsi="Tahoma" w:cs="Tahoma"/>
      <w:sz w:val="16"/>
      <w:szCs w:val="16"/>
    </w:rPr>
  </w:style>
  <w:style w:type="paragraph" w:styleId="Paragraphedeliste">
    <w:name w:val="List Paragraph"/>
    <w:basedOn w:val="Normal"/>
    <w:uiPriority w:val="34"/>
    <w:qFormat/>
    <w:rsid w:val="00BE6635"/>
    <w:pPr>
      <w:ind w:left="720"/>
      <w:contextualSpacing/>
    </w:pPr>
  </w:style>
  <w:style w:type="character" w:styleId="Marquedecommentaire">
    <w:name w:val="annotation reference"/>
    <w:basedOn w:val="Policepardfaut"/>
    <w:uiPriority w:val="99"/>
    <w:semiHidden/>
    <w:unhideWhenUsed/>
    <w:rsid w:val="00B570E9"/>
    <w:rPr>
      <w:sz w:val="16"/>
      <w:szCs w:val="16"/>
    </w:rPr>
  </w:style>
  <w:style w:type="paragraph" w:styleId="Commentaire">
    <w:name w:val="annotation text"/>
    <w:basedOn w:val="Normal"/>
    <w:link w:val="CommentaireCar"/>
    <w:uiPriority w:val="99"/>
    <w:semiHidden/>
    <w:unhideWhenUsed/>
    <w:rsid w:val="00B570E9"/>
    <w:pPr>
      <w:spacing w:line="240" w:lineRule="auto"/>
    </w:pPr>
    <w:rPr>
      <w:sz w:val="20"/>
      <w:szCs w:val="20"/>
    </w:rPr>
  </w:style>
  <w:style w:type="character" w:customStyle="1" w:styleId="CommentaireCar">
    <w:name w:val="Commentaire Car"/>
    <w:basedOn w:val="Policepardfaut"/>
    <w:link w:val="Commentaire"/>
    <w:uiPriority w:val="99"/>
    <w:semiHidden/>
    <w:rsid w:val="00B570E9"/>
    <w:rPr>
      <w:sz w:val="20"/>
      <w:szCs w:val="20"/>
    </w:rPr>
  </w:style>
  <w:style w:type="paragraph" w:styleId="Objetducommentaire">
    <w:name w:val="annotation subject"/>
    <w:basedOn w:val="Commentaire"/>
    <w:next w:val="Commentaire"/>
    <w:link w:val="ObjetducommentaireCar"/>
    <w:uiPriority w:val="99"/>
    <w:semiHidden/>
    <w:unhideWhenUsed/>
    <w:rsid w:val="00B570E9"/>
    <w:rPr>
      <w:b/>
      <w:bCs/>
    </w:rPr>
  </w:style>
  <w:style w:type="character" w:customStyle="1" w:styleId="ObjetducommentaireCar">
    <w:name w:val="Objet du commentaire Car"/>
    <w:basedOn w:val="CommentaireCar"/>
    <w:link w:val="Objetducommentaire"/>
    <w:uiPriority w:val="99"/>
    <w:semiHidden/>
    <w:rsid w:val="00B570E9"/>
    <w:rPr>
      <w:b/>
      <w:bCs/>
      <w:sz w:val="20"/>
      <w:szCs w:val="20"/>
    </w:rPr>
  </w:style>
  <w:style w:type="paragraph" w:styleId="Sansinterligne">
    <w:name w:val="No Spacing"/>
    <w:uiPriority w:val="1"/>
    <w:qFormat/>
    <w:rsid w:val="003A6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jpg@01D42FE4.61217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2883</Words>
  <Characters>15857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Jean-Paul</dc:creator>
  <cp:lastModifiedBy>Raymond, Jean-Paul</cp:lastModifiedBy>
  <cp:revision>2</cp:revision>
  <dcterms:created xsi:type="dcterms:W3CDTF">2019-06-05T19:30:00Z</dcterms:created>
  <dcterms:modified xsi:type="dcterms:W3CDTF">2019-06-05T19:30:00Z</dcterms:modified>
</cp:coreProperties>
</file>