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D029" w14:textId="4755BB7F" w:rsidR="009F543B" w:rsidRDefault="009F543B">
      <w:pPr>
        <w:rPr>
          <w:rFonts w:ascii="Calibri" w:hAnsi="Calibri" w:cs="Calibri"/>
          <w:b/>
        </w:rPr>
      </w:pPr>
      <w:r>
        <w:rPr>
          <w:rFonts w:ascii="Calibri" w:hAnsi="Calibri" w:cs="Calibri"/>
          <w:b/>
          <w:noProof/>
        </w:rPr>
        <w:drawing>
          <wp:anchor distT="0" distB="0" distL="114300" distR="114300" simplePos="0" relativeHeight="251659264" behindDoc="0" locked="0" layoutInCell="1" allowOverlap="1" wp14:anchorId="3F06C12B" wp14:editId="42F3EC3C">
            <wp:simplePos x="0" y="0"/>
            <wp:positionH relativeFrom="column">
              <wp:posOffset>0</wp:posOffset>
            </wp:positionH>
            <wp:positionV relativeFrom="paragraph">
              <wp:posOffset>191770</wp:posOffset>
            </wp:positionV>
            <wp:extent cx="1270000" cy="4318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1270000" cy="431800"/>
                    </a:xfrm>
                    <a:prstGeom prst="rect">
                      <a:avLst/>
                    </a:prstGeom>
                  </pic:spPr>
                </pic:pic>
              </a:graphicData>
            </a:graphic>
          </wp:anchor>
        </w:drawing>
      </w:r>
    </w:p>
    <w:p w14:paraId="34B78C9D" w14:textId="77777777" w:rsidR="009F543B" w:rsidRDefault="009F543B">
      <w:pPr>
        <w:rPr>
          <w:rFonts w:ascii="Calibri" w:hAnsi="Calibri" w:cs="Calibri"/>
          <w:b/>
        </w:rPr>
      </w:pPr>
    </w:p>
    <w:p w14:paraId="3857AC76" w14:textId="77777777" w:rsidR="009F543B" w:rsidRDefault="009F543B">
      <w:pPr>
        <w:rPr>
          <w:rFonts w:ascii="Calibri" w:hAnsi="Calibri" w:cs="Calibri"/>
          <w:b/>
        </w:rPr>
      </w:pPr>
    </w:p>
    <w:p w14:paraId="1A18A164" w14:textId="1206E35B" w:rsidR="00123CAC" w:rsidRPr="002725BA" w:rsidRDefault="006C1C1A">
      <w:pPr>
        <w:rPr>
          <w:rFonts w:ascii="Calibri" w:hAnsi="Calibri" w:cs="Calibri"/>
          <w:b/>
        </w:rPr>
      </w:pPr>
      <w:r w:rsidRPr="002725BA">
        <w:rPr>
          <w:rFonts w:ascii="Calibri" w:hAnsi="Calibri" w:cs="Calibri"/>
          <w:b/>
        </w:rPr>
        <w:t>Article ANDASS pour le Journal des Départements sur la loi « Taquet » :</w:t>
      </w:r>
    </w:p>
    <w:p w14:paraId="3DF449CD" w14:textId="77777777" w:rsidR="006C1C1A" w:rsidRPr="002725BA" w:rsidRDefault="006C1C1A">
      <w:pPr>
        <w:rPr>
          <w:rFonts w:ascii="Calibri" w:hAnsi="Calibri" w:cs="Calibri"/>
        </w:rPr>
      </w:pPr>
    </w:p>
    <w:p w14:paraId="5FC01A75" w14:textId="77777777" w:rsidR="006C1C1A" w:rsidRPr="002725BA" w:rsidRDefault="006C1C1A">
      <w:pPr>
        <w:rPr>
          <w:rFonts w:ascii="Calibri" w:hAnsi="Calibri" w:cs="Calibri"/>
        </w:rPr>
      </w:pPr>
      <w:r w:rsidRPr="002725BA">
        <w:rPr>
          <w:rFonts w:ascii="Calibri" w:hAnsi="Calibri" w:cs="Calibri"/>
        </w:rPr>
        <w:t>« La loi du 07 février 2022 relative à la protection des enfants, si elle comporte des avancées pour l’intérêt des enfants protégées, révèle aussi en creux la vision d’une décentralisation inachevée de la politique de protection de l’enfance.</w:t>
      </w:r>
    </w:p>
    <w:p w14:paraId="67C3E44D" w14:textId="77777777" w:rsidR="006C1C1A" w:rsidRPr="002725BA" w:rsidRDefault="006C1C1A">
      <w:pPr>
        <w:rPr>
          <w:rFonts w:ascii="Calibri" w:hAnsi="Calibri" w:cs="Calibri"/>
        </w:rPr>
      </w:pPr>
    </w:p>
    <w:p w14:paraId="611A4A18" w14:textId="3476B3E7" w:rsidR="00DE69E9" w:rsidRPr="002725BA" w:rsidRDefault="00D35BA1" w:rsidP="002C23ED">
      <w:pPr>
        <w:jc w:val="both"/>
        <w:rPr>
          <w:rFonts w:ascii="Calibri" w:hAnsi="Calibri" w:cs="Calibri"/>
          <w:sz w:val="22"/>
          <w:szCs w:val="22"/>
        </w:rPr>
      </w:pPr>
      <w:r w:rsidRPr="002725BA">
        <w:rPr>
          <w:rFonts w:ascii="Calibri" w:hAnsi="Calibri" w:cs="Calibri"/>
          <w:sz w:val="22"/>
          <w:szCs w:val="22"/>
        </w:rPr>
        <w:t xml:space="preserve">La loi dite « Taquet » promulguée le 07 février 2022 vient compléter l’édifice législatif des deux grandes lois de 2007 et 2016 sur la protection de l’enfance, sans modifier fondamentalement les grands principes et les droits existants. Elle a le mérite de s’inscrire dans une vision globale entamée avec l’élaboration de la stratégie nationale de prévention et de protection de l’enfance par le Secrétaire d’Etat Adrien Taquet </w:t>
      </w:r>
      <w:r w:rsidR="00C023A9" w:rsidRPr="002725BA">
        <w:rPr>
          <w:rFonts w:ascii="Calibri" w:hAnsi="Calibri" w:cs="Calibri"/>
          <w:sz w:val="22"/>
          <w:szCs w:val="22"/>
        </w:rPr>
        <w:t>en</w:t>
      </w:r>
      <w:r w:rsidRPr="002725BA">
        <w:rPr>
          <w:rFonts w:ascii="Calibri" w:hAnsi="Calibri" w:cs="Calibri"/>
          <w:sz w:val="22"/>
          <w:szCs w:val="22"/>
        </w:rPr>
        <w:t xml:space="preserve"> 2019, suivie de plans spécifiques dans le domaine des violences notamment</w:t>
      </w:r>
      <w:r w:rsidR="00C023A9" w:rsidRPr="002725BA">
        <w:rPr>
          <w:rFonts w:ascii="Calibri" w:hAnsi="Calibri" w:cs="Calibri"/>
          <w:sz w:val="22"/>
          <w:szCs w:val="22"/>
        </w:rPr>
        <w:t>,</w:t>
      </w:r>
      <w:r w:rsidRPr="002725BA">
        <w:rPr>
          <w:rFonts w:ascii="Calibri" w:hAnsi="Calibri" w:cs="Calibri"/>
          <w:sz w:val="22"/>
          <w:szCs w:val="22"/>
        </w:rPr>
        <w:t xml:space="preserve"> ou plus récemment de la lutte contre la prostitution des mineurs. Cette stratégie se déploie également à travers une contractualisation entre l’Etat, les ARS et les Départements, sous forme d’objectifs portés par les Départements avec leurs services de </w:t>
      </w:r>
      <w:r w:rsidR="00357D69" w:rsidRPr="002725BA">
        <w:rPr>
          <w:rFonts w:ascii="Calibri" w:hAnsi="Calibri" w:cs="Calibri"/>
          <w:sz w:val="22"/>
          <w:szCs w:val="22"/>
        </w:rPr>
        <w:t>protection maternelle et infantile (</w:t>
      </w:r>
      <w:r w:rsidRPr="002725BA">
        <w:rPr>
          <w:rFonts w:ascii="Calibri" w:hAnsi="Calibri" w:cs="Calibri"/>
          <w:sz w:val="22"/>
          <w:szCs w:val="22"/>
        </w:rPr>
        <w:t>PMI</w:t>
      </w:r>
      <w:r w:rsidR="00357D69" w:rsidRPr="002725BA">
        <w:rPr>
          <w:rFonts w:ascii="Calibri" w:hAnsi="Calibri" w:cs="Calibri"/>
          <w:sz w:val="22"/>
          <w:szCs w:val="22"/>
        </w:rPr>
        <w:t>)</w:t>
      </w:r>
      <w:r w:rsidRPr="002725BA">
        <w:rPr>
          <w:rFonts w:ascii="Calibri" w:hAnsi="Calibri" w:cs="Calibri"/>
          <w:sz w:val="22"/>
          <w:szCs w:val="22"/>
        </w:rPr>
        <w:t xml:space="preserve"> et d’aide sociale à l’enfance</w:t>
      </w:r>
      <w:r w:rsidR="00357D69" w:rsidRPr="002725BA">
        <w:rPr>
          <w:rFonts w:ascii="Calibri" w:hAnsi="Calibri" w:cs="Calibri"/>
          <w:sz w:val="22"/>
          <w:szCs w:val="22"/>
        </w:rPr>
        <w:t xml:space="preserve"> (ASE)</w:t>
      </w:r>
      <w:r w:rsidRPr="002725BA">
        <w:rPr>
          <w:rFonts w:ascii="Calibri" w:hAnsi="Calibri" w:cs="Calibri"/>
          <w:sz w:val="22"/>
          <w:szCs w:val="22"/>
        </w:rPr>
        <w:t xml:space="preserve">, mais aussi dans le champ du handicap de l’enfant. La contractualisation </w:t>
      </w:r>
      <w:r w:rsidR="003F38E5" w:rsidRPr="002725BA">
        <w:rPr>
          <w:rFonts w:ascii="Calibri" w:hAnsi="Calibri" w:cs="Calibri"/>
          <w:sz w:val="22"/>
          <w:szCs w:val="22"/>
        </w:rPr>
        <w:t>semble</w:t>
      </w:r>
      <w:r w:rsidRPr="002725BA">
        <w:rPr>
          <w:rFonts w:ascii="Calibri" w:hAnsi="Calibri" w:cs="Calibri"/>
          <w:sz w:val="22"/>
          <w:szCs w:val="22"/>
        </w:rPr>
        <w:t xml:space="preserve"> </w:t>
      </w:r>
      <w:r w:rsidR="003F38E5" w:rsidRPr="002725BA">
        <w:rPr>
          <w:rFonts w:ascii="Calibri" w:hAnsi="Calibri" w:cs="Calibri"/>
          <w:sz w:val="22"/>
          <w:szCs w:val="22"/>
        </w:rPr>
        <w:t>devenue</w:t>
      </w:r>
      <w:r w:rsidRPr="002725BA">
        <w:rPr>
          <w:rFonts w:ascii="Calibri" w:hAnsi="Calibri" w:cs="Calibri"/>
          <w:sz w:val="22"/>
          <w:szCs w:val="22"/>
        </w:rPr>
        <w:t xml:space="preserve"> le nouvel horizon de la décentralisation là où les compétences sont enchevêtrées et nécessitent de clarifier la gouvernance et les objectifs</w:t>
      </w:r>
      <w:r w:rsidR="003F38E5" w:rsidRPr="002725BA">
        <w:rPr>
          <w:rFonts w:ascii="Calibri" w:hAnsi="Calibri" w:cs="Calibri"/>
          <w:sz w:val="22"/>
          <w:szCs w:val="22"/>
        </w:rPr>
        <w:t xml:space="preserve"> </w:t>
      </w:r>
      <w:r w:rsidR="003F38E5" w:rsidRPr="000D6FAE">
        <w:rPr>
          <w:rFonts w:ascii="Calibri" w:hAnsi="Calibri" w:cs="Calibri"/>
          <w:color w:val="ED7D31" w:themeColor="accent2"/>
          <w:sz w:val="22"/>
          <w:szCs w:val="22"/>
        </w:rPr>
        <w:t>rel</w:t>
      </w:r>
      <w:r w:rsidR="000D6FAE">
        <w:rPr>
          <w:rFonts w:ascii="Calibri" w:hAnsi="Calibri" w:cs="Calibri"/>
          <w:color w:val="ED7D31" w:themeColor="accent2"/>
          <w:sz w:val="22"/>
          <w:szCs w:val="22"/>
        </w:rPr>
        <w:t>e</w:t>
      </w:r>
      <w:r w:rsidR="003F38E5" w:rsidRPr="000D6FAE">
        <w:rPr>
          <w:rFonts w:ascii="Calibri" w:hAnsi="Calibri" w:cs="Calibri"/>
          <w:color w:val="ED7D31" w:themeColor="accent2"/>
          <w:sz w:val="22"/>
          <w:szCs w:val="22"/>
        </w:rPr>
        <w:t>vant</w:t>
      </w:r>
      <w:r w:rsidR="003F38E5" w:rsidRPr="002725BA">
        <w:rPr>
          <w:rFonts w:ascii="Calibri" w:hAnsi="Calibri" w:cs="Calibri"/>
          <w:sz w:val="22"/>
          <w:szCs w:val="22"/>
        </w:rPr>
        <w:t xml:space="preserve"> de la responsabilité de chaque acteur.</w:t>
      </w:r>
    </w:p>
    <w:p w14:paraId="489958AE" w14:textId="77777777" w:rsidR="00D80AE9" w:rsidRPr="002725BA" w:rsidRDefault="00D80AE9" w:rsidP="002C23ED">
      <w:pPr>
        <w:pStyle w:val="NormalWeb"/>
        <w:spacing w:before="0" w:beforeAutospacing="0" w:after="0" w:line="240" w:lineRule="auto"/>
        <w:jc w:val="both"/>
        <w:rPr>
          <w:rFonts w:ascii="Calibri" w:hAnsi="Calibri" w:cs="Calibri"/>
          <w:sz w:val="22"/>
          <w:szCs w:val="22"/>
        </w:rPr>
      </w:pPr>
    </w:p>
    <w:p w14:paraId="3DEBDC82" w14:textId="77777777" w:rsidR="00357D69" w:rsidRPr="002725BA" w:rsidRDefault="00357D69" w:rsidP="002C23ED">
      <w:pPr>
        <w:pStyle w:val="NormalWeb"/>
        <w:spacing w:before="0" w:beforeAutospacing="0" w:after="0" w:line="240" w:lineRule="auto"/>
        <w:jc w:val="both"/>
        <w:rPr>
          <w:rFonts w:ascii="Calibri" w:hAnsi="Calibri" w:cs="Calibri"/>
          <w:sz w:val="22"/>
          <w:szCs w:val="22"/>
        </w:rPr>
      </w:pPr>
      <w:r w:rsidRPr="002725BA">
        <w:rPr>
          <w:rFonts w:ascii="Calibri" w:hAnsi="Calibri" w:cs="Calibri"/>
          <w:sz w:val="22"/>
          <w:szCs w:val="22"/>
        </w:rPr>
        <w:t>Quelques avancées notables de la loi font consensus. Ainsi, systématiser l’accompagnement des jeunes majeurs ayant été protégés par l’ASE peut permettre de sécuriser l’accès progressif à l’autonomie d’une partie des jeunes particulièrement vulnérables</w:t>
      </w:r>
      <w:r w:rsidR="003F38E5" w:rsidRPr="002725BA">
        <w:rPr>
          <w:rFonts w:ascii="Calibri" w:hAnsi="Calibri" w:cs="Calibri"/>
          <w:sz w:val="22"/>
          <w:szCs w:val="22"/>
        </w:rPr>
        <w:t xml:space="preserve"> : leur accès aux droits, la </w:t>
      </w:r>
      <w:r w:rsidRPr="002725BA">
        <w:rPr>
          <w:rFonts w:ascii="Calibri" w:hAnsi="Calibri" w:cs="Calibri"/>
          <w:sz w:val="22"/>
          <w:szCs w:val="22"/>
        </w:rPr>
        <w:t xml:space="preserve">poursuite de scolarité, </w:t>
      </w:r>
      <w:r w:rsidR="003F38E5" w:rsidRPr="002725BA">
        <w:rPr>
          <w:rFonts w:ascii="Calibri" w:hAnsi="Calibri" w:cs="Calibri"/>
          <w:sz w:val="22"/>
          <w:szCs w:val="22"/>
        </w:rPr>
        <w:t xml:space="preserve">la </w:t>
      </w:r>
      <w:r w:rsidRPr="002725BA">
        <w:rPr>
          <w:rFonts w:ascii="Calibri" w:hAnsi="Calibri" w:cs="Calibri"/>
          <w:sz w:val="22"/>
          <w:szCs w:val="22"/>
        </w:rPr>
        <w:t xml:space="preserve">formation, </w:t>
      </w:r>
      <w:r w:rsidR="003F38E5" w:rsidRPr="002725BA">
        <w:rPr>
          <w:rFonts w:ascii="Calibri" w:hAnsi="Calibri" w:cs="Calibri"/>
          <w:sz w:val="22"/>
          <w:szCs w:val="22"/>
        </w:rPr>
        <w:t>l’</w:t>
      </w:r>
      <w:r w:rsidRPr="002725BA">
        <w:rPr>
          <w:rFonts w:ascii="Calibri" w:hAnsi="Calibri" w:cs="Calibri"/>
          <w:sz w:val="22"/>
          <w:szCs w:val="22"/>
        </w:rPr>
        <w:t xml:space="preserve">accès au logement, </w:t>
      </w:r>
      <w:r w:rsidR="003F38E5" w:rsidRPr="002725BA">
        <w:rPr>
          <w:rFonts w:ascii="Calibri" w:hAnsi="Calibri" w:cs="Calibri"/>
          <w:sz w:val="22"/>
          <w:szCs w:val="22"/>
        </w:rPr>
        <w:t xml:space="preserve">et aux </w:t>
      </w:r>
      <w:r w:rsidRPr="002725BA">
        <w:rPr>
          <w:rFonts w:ascii="Calibri" w:hAnsi="Calibri" w:cs="Calibri"/>
          <w:sz w:val="22"/>
          <w:szCs w:val="22"/>
        </w:rPr>
        <w:t xml:space="preserve">ressources, </w:t>
      </w:r>
      <w:r w:rsidR="003F38E5" w:rsidRPr="002725BA">
        <w:rPr>
          <w:rFonts w:ascii="Calibri" w:hAnsi="Calibri" w:cs="Calibri"/>
          <w:sz w:val="22"/>
          <w:szCs w:val="22"/>
        </w:rPr>
        <w:t xml:space="preserve">la </w:t>
      </w:r>
      <w:r w:rsidRPr="002725BA">
        <w:rPr>
          <w:rFonts w:ascii="Calibri" w:hAnsi="Calibri" w:cs="Calibri"/>
          <w:sz w:val="22"/>
          <w:szCs w:val="22"/>
        </w:rPr>
        <w:t>régularisation du séjour s’agissant des « ex-mineurs non accompagnés ». Mais cette évolution laisse entière la problématique du pilotage coordonné des politiques en faveur de la jeunesse dans notre pays, en créant une nouvelle catégorie de l’action publique, les « sortants de l’ASE », qui vient rejoindre les « NEETS », les jeunes sortis sans diplômes du système scolaire, les étudiants précaires …etc. Au passage elle institue le Département comme un acteur parmi les autres dans un domaine où le maquis des dispositifs nécessiterait lisibilité, simplification, efficience, à partir d’un socle de droits à garantir pour tous les jeunes.</w:t>
      </w:r>
    </w:p>
    <w:p w14:paraId="1C774424" w14:textId="77777777" w:rsidR="00357D69" w:rsidRPr="002725BA" w:rsidRDefault="00357D69" w:rsidP="002C23ED">
      <w:pPr>
        <w:pStyle w:val="NormalWeb"/>
        <w:spacing w:before="0" w:beforeAutospacing="0" w:after="0" w:line="240" w:lineRule="auto"/>
        <w:jc w:val="both"/>
        <w:rPr>
          <w:rFonts w:ascii="Calibri" w:hAnsi="Calibri" w:cs="Calibri"/>
          <w:sz w:val="22"/>
          <w:szCs w:val="22"/>
        </w:rPr>
      </w:pPr>
    </w:p>
    <w:p w14:paraId="267DD58C" w14:textId="77777777" w:rsidR="00357D69" w:rsidRPr="002725BA" w:rsidRDefault="00357D69" w:rsidP="002C23ED">
      <w:pPr>
        <w:pStyle w:val="NormalWeb"/>
        <w:spacing w:before="0" w:beforeAutospacing="0" w:after="0" w:line="240" w:lineRule="auto"/>
        <w:jc w:val="both"/>
        <w:rPr>
          <w:rFonts w:ascii="Calibri" w:hAnsi="Calibri" w:cs="Calibri"/>
          <w:sz w:val="22"/>
          <w:szCs w:val="22"/>
        </w:rPr>
      </w:pPr>
      <w:r w:rsidRPr="002725BA">
        <w:rPr>
          <w:rFonts w:ascii="Calibri" w:hAnsi="Calibri" w:cs="Calibri"/>
          <w:sz w:val="22"/>
          <w:szCs w:val="22"/>
        </w:rPr>
        <w:t xml:space="preserve">D’autres mesures prévues par la loi peuvent être qualifiées de progrès, complétant le cadre législatif existant : </w:t>
      </w:r>
      <w:r w:rsidR="009133C6" w:rsidRPr="002725BA">
        <w:rPr>
          <w:rFonts w:ascii="Calibri" w:hAnsi="Calibri" w:cs="Calibri"/>
          <w:sz w:val="22"/>
          <w:szCs w:val="22"/>
        </w:rPr>
        <w:t>faire de l’accueil en famille ou chez un tiers le principe</w:t>
      </w:r>
      <w:r w:rsidR="003F38E5" w:rsidRPr="002725BA">
        <w:rPr>
          <w:rFonts w:ascii="Calibri" w:hAnsi="Calibri" w:cs="Calibri"/>
          <w:sz w:val="22"/>
          <w:szCs w:val="22"/>
        </w:rPr>
        <w:t>,</w:t>
      </w:r>
      <w:r w:rsidR="009133C6" w:rsidRPr="002725BA">
        <w:rPr>
          <w:rFonts w:ascii="Calibri" w:hAnsi="Calibri" w:cs="Calibri"/>
          <w:sz w:val="22"/>
          <w:szCs w:val="22"/>
        </w:rPr>
        <w:t xml:space="preserve"> et de l’accueil en établissement ou en famille d’accueil l’exception</w:t>
      </w:r>
      <w:r w:rsidR="003F38E5" w:rsidRPr="002725BA">
        <w:rPr>
          <w:rFonts w:ascii="Calibri" w:hAnsi="Calibri" w:cs="Calibri"/>
          <w:sz w:val="22"/>
          <w:szCs w:val="22"/>
        </w:rPr>
        <w:t>,</w:t>
      </w:r>
      <w:r w:rsidR="009133C6" w:rsidRPr="002725BA">
        <w:rPr>
          <w:rFonts w:ascii="Calibri" w:hAnsi="Calibri" w:cs="Calibri"/>
          <w:sz w:val="22"/>
          <w:szCs w:val="22"/>
        </w:rPr>
        <w:t xml:space="preserve"> dénote d’une posture philosophique pouvant inspirer de nouvelles pratiques. Mais ces dispositions faute </w:t>
      </w:r>
      <w:commentRangeStart w:id="0"/>
      <w:r w:rsidR="009133C6" w:rsidRPr="002725BA">
        <w:rPr>
          <w:rFonts w:ascii="Calibri" w:hAnsi="Calibri" w:cs="Calibri"/>
          <w:sz w:val="22"/>
          <w:szCs w:val="22"/>
        </w:rPr>
        <w:t>de</w:t>
      </w:r>
      <w:commentRangeEnd w:id="0"/>
      <w:r w:rsidR="0070024A">
        <w:rPr>
          <w:rStyle w:val="Marquedecommentaire"/>
        </w:rPr>
        <w:commentReference w:id="0"/>
      </w:r>
      <w:r w:rsidR="009133C6" w:rsidRPr="002725BA">
        <w:rPr>
          <w:rFonts w:ascii="Calibri" w:hAnsi="Calibri" w:cs="Calibri"/>
          <w:sz w:val="22"/>
          <w:szCs w:val="22"/>
        </w:rPr>
        <w:t xml:space="preserve"> demeurer incantatoires nécessitent un accompagnement majeur de l’évolution des services et de la culture de l’ensemble des acteurs, magistrats de l’enfance comme professionnel.le.s du travail social : comment évaluer la possibilité de ces accueils tout en assurant dans le même temps la protection des enfants dont la situation est à risque au point d’avoir conduit à s’interroger sur l’opportunité de leur placement ?</w:t>
      </w:r>
    </w:p>
    <w:p w14:paraId="447625BD" w14:textId="77777777" w:rsidR="003F38E5" w:rsidRPr="002725BA" w:rsidRDefault="003F38E5" w:rsidP="002C23ED">
      <w:pPr>
        <w:pStyle w:val="NormalWeb"/>
        <w:spacing w:before="0" w:beforeAutospacing="0" w:after="0" w:line="240" w:lineRule="auto"/>
        <w:jc w:val="both"/>
        <w:rPr>
          <w:rFonts w:ascii="Calibri" w:hAnsi="Calibri" w:cs="Calibri"/>
          <w:sz w:val="22"/>
          <w:szCs w:val="22"/>
        </w:rPr>
      </w:pPr>
    </w:p>
    <w:p w14:paraId="0392A140" w14:textId="77777777" w:rsidR="009133C6" w:rsidRPr="002725BA" w:rsidRDefault="009133C6" w:rsidP="002C23ED">
      <w:pPr>
        <w:pStyle w:val="NormalWeb"/>
        <w:spacing w:before="0" w:beforeAutospacing="0" w:after="0" w:line="240" w:lineRule="auto"/>
        <w:jc w:val="both"/>
        <w:rPr>
          <w:rFonts w:ascii="Calibri" w:hAnsi="Calibri" w:cs="Calibri"/>
          <w:sz w:val="22"/>
          <w:szCs w:val="22"/>
        </w:rPr>
      </w:pPr>
      <w:r w:rsidRPr="002725BA">
        <w:rPr>
          <w:rFonts w:ascii="Calibri" w:hAnsi="Calibri" w:cs="Calibri"/>
          <w:sz w:val="22"/>
          <w:szCs w:val="22"/>
        </w:rPr>
        <w:t>L’écueil de mesures uniquement incitatives et jamais appliquées pourrait aussi menacer les dispositions visant à interdire la sép</w:t>
      </w:r>
      <w:r w:rsidR="003F38E5" w:rsidRPr="002725BA">
        <w:rPr>
          <w:rFonts w:ascii="Calibri" w:hAnsi="Calibri" w:cs="Calibri"/>
          <w:sz w:val="22"/>
          <w:szCs w:val="22"/>
        </w:rPr>
        <w:t>aration des fratries</w:t>
      </w:r>
      <w:r w:rsidRPr="002725BA">
        <w:rPr>
          <w:rFonts w:ascii="Calibri" w:hAnsi="Calibri" w:cs="Calibri"/>
          <w:sz w:val="22"/>
          <w:szCs w:val="22"/>
        </w:rPr>
        <w:t> : cela suppose une offre d’accueil entre le collectif et les familles d’accueil suffisamment souple pour permettre ces accueils.</w:t>
      </w:r>
      <w:r w:rsidR="008C464D" w:rsidRPr="002725BA">
        <w:rPr>
          <w:rFonts w:ascii="Calibri" w:hAnsi="Calibri" w:cs="Calibri"/>
          <w:sz w:val="22"/>
          <w:szCs w:val="22"/>
        </w:rPr>
        <w:t xml:space="preserve"> La mise en œuvre d</w:t>
      </w:r>
      <w:r w:rsidR="003F38E5" w:rsidRPr="002725BA">
        <w:rPr>
          <w:rFonts w:ascii="Calibri" w:hAnsi="Calibri" w:cs="Calibri"/>
          <w:sz w:val="22"/>
          <w:szCs w:val="22"/>
        </w:rPr>
        <w:t>e cette disposition devra</w:t>
      </w:r>
      <w:r w:rsidR="008C464D" w:rsidRPr="002725BA">
        <w:rPr>
          <w:rFonts w:ascii="Calibri" w:hAnsi="Calibri" w:cs="Calibri"/>
          <w:sz w:val="22"/>
          <w:szCs w:val="22"/>
        </w:rPr>
        <w:t xml:space="preserve"> inspirer les projets de services des établissements, structurer des orientations des schémas départementaux, nécessiter des investissements</w:t>
      </w:r>
      <w:r w:rsidR="003F38E5" w:rsidRPr="002725BA">
        <w:rPr>
          <w:rFonts w:ascii="Calibri" w:hAnsi="Calibri" w:cs="Calibri"/>
          <w:sz w:val="22"/>
          <w:szCs w:val="22"/>
        </w:rPr>
        <w:t>.</w:t>
      </w:r>
      <w:r w:rsidR="008C464D" w:rsidRPr="002725BA">
        <w:rPr>
          <w:rFonts w:ascii="Calibri" w:hAnsi="Calibri" w:cs="Calibri"/>
          <w:sz w:val="22"/>
          <w:szCs w:val="22"/>
        </w:rPr>
        <w:t xml:space="preserve"> L’étude d’impact préalable à la loi n’est pas allée jusque-là.</w:t>
      </w:r>
    </w:p>
    <w:p w14:paraId="2B40C2B5" w14:textId="77777777" w:rsidR="003F38E5" w:rsidRPr="002725BA" w:rsidRDefault="003F38E5" w:rsidP="002C23ED">
      <w:pPr>
        <w:pStyle w:val="NormalWeb"/>
        <w:spacing w:before="0" w:beforeAutospacing="0" w:after="0" w:line="240" w:lineRule="auto"/>
        <w:jc w:val="both"/>
        <w:rPr>
          <w:rFonts w:ascii="Calibri" w:hAnsi="Calibri" w:cs="Calibri"/>
          <w:sz w:val="22"/>
          <w:szCs w:val="22"/>
        </w:rPr>
      </w:pPr>
    </w:p>
    <w:p w14:paraId="6E7A64E8" w14:textId="77777777" w:rsidR="008C464D" w:rsidRPr="002725BA" w:rsidRDefault="0090661D" w:rsidP="002C23ED">
      <w:pPr>
        <w:pStyle w:val="NormalWeb"/>
        <w:spacing w:before="0" w:beforeAutospacing="0" w:after="0" w:line="240" w:lineRule="auto"/>
        <w:jc w:val="both"/>
        <w:rPr>
          <w:rFonts w:ascii="Calibri" w:hAnsi="Calibri" w:cs="Calibri"/>
          <w:sz w:val="22"/>
          <w:szCs w:val="22"/>
        </w:rPr>
      </w:pPr>
      <w:r w:rsidRPr="002725BA">
        <w:rPr>
          <w:rFonts w:ascii="Calibri" w:hAnsi="Calibri" w:cs="Calibri"/>
          <w:sz w:val="22"/>
          <w:szCs w:val="22"/>
        </w:rPr>
        <w:t xml:space="preserve">Etude d’impact qui a montré ses limites aussi dans le domaine de la revalorisation des </w:t>
      </w:r>
      <w:r w:rsidR="003F38E5" w:rsidRPr="002725BA">
        <w:rPr>
          <w:rFonts w:ascii="Calibri" w:hAnsi="Calibri" w:cs="Calibri"/>
          <w:sz w:val="22"/>
          <w:szCs w:val="22"/>
        </w:rPr>
        <w:t>conditions de rémunération</w:t>
      </w:r>
      <w:r w:rsidRPr="002725BA">
        <w:rPr>
          <w:rFonts w:ascii="Calibri" w:hAnsi="Calibri" w:cs="Calibri"/>
          <w:sz w:val="22"/>
          <w:szCs w:val="22"/>
        </w:rPr>
        <w:t xml:space="preserve"> et d’indemnisation des assistants familiaux : les dispositions de la loi sur la rémunération minimale de ces professionnels, les garanties en cas de diminution de leur activité d’accueil et les améliorations de leurs conditions de travail (un weekend end de répit chaque mois sans accueil), sont des progrès du point de vue de ces professionnel</w:t>
      </w:r>
      <w:r w:rsidR="00D77AB0" w:rsidRPr="002725BA">
        <w:rPr>
          <w:rFonts w:ascii="Calibri" w:hAnsi="Calibri" w:cs="Calibri"/>
          <w:sz w:val="22"/>
          <w:szCs w:val="22"/>
        </w:rPr>
        <w:t>.le.</w:t>
      </w:r>
      <w:r w:rsidRPr="002725BA">
        <w:rPr>
          <w:rFonts w:ascii="Calibri" w:hAnsi="Calibri" w:cs="Calibri"/>
          <w:sz w:val="22"/>
          <w:szCs w:val="22"/>
        </w:rPr>
        <w:t>s essentiel</w:t>
      </w:r>
      <w:r w:rsidR="00D77AB0" w:rsidRPr="002725BA">
        <w:rPr>
          <w:rFonts w:ascii="Calibri" w:hAnsi="Calibri" w:cs="Calibri"/>
          <w:sz w:val="22"/>
          <w:szCs w:val="22"/>
        </w:rPr>
        <w:t>.le.</w:t>
      </w:r>
      <w:r w:rsidR="003F38E5" w:rsidRPr="002725BA">
        <w:rPr>
          <w:rFonts w:ascii="Calibri" w:hAnsi="Calibri" w:cs="Calibri"/>
          <w:sz w:val="22"/>
          <w:szCs w:val="22"/>
        </w:rPr>
        <w:t>s</w:t>
      </w:r>
      <w:r w:rsidR="00D77AB0" w:rsidRPr="002725BA">
        <w:rPr>
          <w:rFonts w:ascii="Calibri" w:hAnsi="Calibri" w:cs="Calibri"/>
          <w:sz w:val="22"/>
          <w:szCs w:val="22"/>
        </w:rPr>
        <w:t xml:space="preserve">, </w:t>
      </w:r>
      <w:r w:rsidRPr="002725BA">
        <w:rPr>
          <w:rFonts w:ascii="Calibri" w:hAnsi="Calibri" w:cs="Calibri"/>
          <w:sz w:val="22"/>
          <w:szCs w:val="22"/>
        </w:rPr>
        <w:t>qui souffrent encore trop d’un manque de reconnaissance de leurs compétences et de leur responsabilité. Mais les situations sont hétérogènes, de nombreux Départements proposent d’ores et déjà des conditions plus favorables que celles prévues par la loi</w:t>
      </w:r>
      <w:r w:rsidR="003F38E5" w:rsidRPr="002725BA">
        <w:rPr>
          <w:rFonts w:ascii="Calibri" w:hAnsi="Calibri" w:cs="Calibri"/>
          <w:sz w:val="22"/>
          <w:szCs w:val="22"/>
        </w:rPr>
        <w:t xml:space="preserve">. </w:t>
      </w:r>
      <w:r w:rsidR="00D77AB0" w:rsidRPr="002725BA">
        <w:rPr>
          <w:rFonts w:ascii="Calibri" w:hAnsi="Calibri" w:cs="Calibri"/>
          <w:sz w:val="22"/>
          <w:szCs w:val="22"/>
        </w:rPr>
        <w:t>C</w:t>
      </w:r>
      <w:r w:rsidRPr="002725BA">
        <w:rPr>
          <w:rFonts w:ascii="Calibri" w:hAnsi="Calibri" w:cs="Calibri"/>
          <w:sz w:val="22"/>
          <w:szCs w:val="22"/>
        </w:rPr>
        <w:t xml:space="preserve">’est </w:t>
      </w:r>
      <w:r w:rsidR="00D77AB0" w:rsidRPr="002725BA">
        <w:rPr>
          <w:rFonts w:ascii="Calibri" w:hAnsi="Calibri" w:cs="Calibri"/>
          <w:sz w:val="22"/>
          <w:szCs w:val="22"/>
        </w:rPr>
        <w:t xml:space="preserve">là notamment que la loi traduit une vision </w:t>
      </w:r>
      <w:r w:rsidR="00D77AB0" w:rsidRPr="002725BA">
        <w:rPr>
          <w:rFonts w:ascii="Calibri" w:hAnsi="Calibri" w:cs="Calibri"/>
          <w:sz w:val="22"/>
          <w:szCs w:val="22"/>
        </w:rPr>
        <w:lastRenderedPageBreak/>
        <w:t>d’une décentralisation mal assumée : dans chaque département ces sujets de rémunération et</w:t>
      </w:r>
      <w:r w:rsidR="003F38E5" w:rsidRPr="002725BA">
        <w:rPr>
          <w:rFonts w:ascii="Calibri" w:hAnsi="Calibri" w:cs="Calibri"/>
          <w:sz w:val="22"/>
          <w:szCs w:val="22"/>
        </w:rPr>
        <w:t xml:space="preserve"> de conditions de travail font </w:t>
      </w:r>
      <w:r w:rsidR="00D77AB0" w:rsidRPr="002725BA">
        <w:rPr>
          <w:rFonts w:ascii="Calibri" w:hAnsi="Calibri" w:cs="Calibri"/>
          <w:sz w:val="22"/>
          <w:szCs w:val="22"/>
        </w:rPr>
        <w:t>l’objet de négociations, sont au cœur d</w:t>
      </w:r>
      <w:r w:rsidR="003F38E5" w:rsidRPr="002725BA">
        <w:rPr>
          <w:rFonts w:ascii="Calibri" w:hAnsi="Calibri" w:cs="Calibri"/>
          <w:sz w:val="22"/>
          <w:szCs w:val="22"/>
        </w:rPr>
        <w:t>u</w:t>
      </w:r>
      <w:r w:rsidR="00D77AB0" w:rsidRPr="002725BA">
        <w:rPr>
          <w:rFonts w:ascii="Calibri" w:hAnsi="Calibri" w:cs="Calibri"/>
          <w:sz w:val="22"/>
          <w:szCs w:val="22"/>
        </w:rPr>
        <w:t xml:space="preserve"> dialogue social</w:t>
      </w:r>
      <w:r w:rsidR="003F38E5" w:rsidRPr="002725BA">
        <w:rPr>
          <w:rFonts w:ascii="Calibri" w:hAnsi="Calibri" w:cs="Calibri"/>
          <w:sz w:val="22"/>
          <w:szCs w:val="22"/>
        </w:rPr>
        <w:t>, et doivent tenir</w:t>
      </w:r>
      <w:r w:rsidR="00D77AB0" w:rsidRPr="002725BA">
        <w:rPr>
          <w:rFonts w:ascii="Calibri" w:hAnsi="Calibri" w:cs="Calibri"/>
          <w:sz w:val="22"/>
          <w:szCs w:val="22"/>
        </w:rPr>
        <w:t xml:space="preserve"> compte des conditions de vie qui diffèrent au regard du niveau de vie, des modalités de logement permettant d’accueillir des enfants au domicile …etc. C’est là surtout que la loi passe sous silence l’enjeu principal : le modèle de l’accueil familial traverse aujourd’hui une crise majeure d</w:t>
      </w:r>
      <w:r w:rsidR="003F38E5" w:rsidRPr="002725BA">
        <w:rPr>
          <w:rFonts w:ascii="Calibri" w:hAnsi="Calibri" w:cs="Calibri"/>
          <w:sz w:val="22"/>
          <w:szCs w:val="22"/>
        </w:rPr>
        <w:t>e</w:t>
      </w:r>
      <w:r w:rsidR="00D77AB0" w:rsidRPr="002725BA">
        <w:rPr>
          <w:rFonts w:ascii="Calibri" w:hAnsi="Calibri" w:cs="Calibri"/>
          <w:sz w:val="22"/>
          <w:szCs w:val="22"/>
        </w:rPr>
        <w:t xml:space="preserve"> vocations, à laquelle la seule </w:t>
      </w:r>
      <w:r w:rsidR="003F38E5" w:rsidRPr="002725BA">
        <w:rPr>
          <w:rFonts w:ascii="Calibri" w:hAnsi="Calibri" w:cs="Calibri"/>
          <w:sz w:val="22"/>
          <w:szCs w:val="22"/>
        </w:rPr>
        <w:t xml:space="preserve">valorisation de </w:t>
      </w:r>
      <w:r w:rsidR="00D77AB0" w:rsidRPr="002725BA">
        <w:rPr>
          <w:rFonts w:ascii="Calibri" w:hAnsi="Calibri" w:cs="Calibri"/>
          <w:sz w:val="22"/>
          <w:szCs w:val="22"/>
        </w:rPr>
        <w:t>rémunération ne répondra pas, q</w:t>
      </w:r>
      <w:r w:rsidR="003F38E5" w:rsidRPr="002725BA">
        <w:rPr>
          <w:rFonts w:ascii="Calibri" w:hAnsi="Calibri" w:cs="Calibri"/>
          <w:sz w:val="22"/>
          <w:szCs w:val="22"/>
        </w:rPr>
        <w:t>ui appelle un effort massif</w:t>
      </w:r>
      <w:r w:rsidR="00D77AB0" w:rsidRPr="002725BA">
        <w:rPr>
          <w:rFonts w:ascii="Calibri" w:hAnsi="Calibri" w:cs="Calibri"/>
          <w:sz w:val="22"/>
          <w:szCs w:val="22"/>
        </w:rPr>
        <w:t xml:space="preserve">, pour </w:t>
      </w:r>
      <w:r w:rsidR="003F38E5" w:rsidRPr="002725BA">
        <w:rPr>
          <w:rFonts w:ascii="Calibri" w:hAnsi="Calibri" w:cs="Calibri"/>
          <w:sz w:val="22"/>
          <w:szCs w:val="22"/>
        </w:rPr>
        <w:t xml:space="preserve">simplifier </w:t>
      </w:r>
      <w:r w:rsidR="003F38E5" w:rsidRPr="003F38E5">
        <w:rPr>
          <w:rFonts w:ascii="Calibri" w:hAnsi="Calibri" w:cs="Calibri"/>
          <w:sz w:val="22"/>
          <w:szCs w:val="22"/>
        </w:rPr>
        <w:t xml:space="preserve">l’accès au métier (et en amont à l’agrément), </w:t>
      </w:r>
      <w:r w:rsidR="003F38E5">
        <w:rPr>
          <w:rFonts w:ascii="Calibri" w:hAnsi="Calibri" w:cs="Calibri"/>
          <w:sz w:val="22"/>
          <w:szCs w:val="22"/>
        </w:rPr>
        <w:t xml:space="preserve">pour </w:t>
      </w:r>
      <w:r w:rsidR="00D77AB0" w:rsidRPr="002725BA">
        <w:rPr>
          <w:rFonts w:ascii="Calibri" w:hAnsi="Calibri" w:cs="Calibri"/>
          <w:sz w:val="22"/>
          <w:szCs w:val="22"/>
        </w:rPr>
        <w:t>former des professionnel.le.s, pour accompagner les parcours professionnels et soutenir la pratique des accueillant.e.s confronté.e.s à des situations complexes.</w:t>
      </w:r>
    </w:p>
    <w:p w14:paraId="687DF93D" w14:textId="77777777" w:rsidR="00D77AB0" w:rsidRPr="002725BA" w:rsidRDefault="00D77AB0" w:rsidP="002C23ED">
      <w:pPr>
        <w:pStyle w:val="NormalWeb"/>
        <w:spacing w:before="0" w:beforeAutospacing="0" w:after="0" w:line="240" w:lineRule="auto"/>
        <w:jc w:val="both"/>
        <w:rPr>
          <w:rFonts w:ascii="Calibri" w:hAnsi="Calibri" w:cs="Calibri"/>
          <w:sz w:val="22"/>
          <w:szCs w:val="22"/>
        </w:rPr>
      </w:pPr>
    </w:p>
    <w:p w14:paraId="43CF74CC" w14:textId="77777777" w:rsidR="00D77AB0" w:rsidRPr="002725BA" w:rsidRDefault="00D77AB0" w:rsidP="002C23ED">
      <w:pPr>
        <w:pStyle w:val="NormalWeb"/>
        <w:spacing w:before="0" w:beforeAutospacing="0" w:after="0" w:line="240" w:lineRule="auto"/>
        <w:jc w:val="both"/>
        <w:rPr>
          <w:rFonts w:ascii="Calibri" w:hAnsi="Calibri" w:cs="Calibri"/>
          <w:sz w:val="22"/>
          <w:szCs w:val="22"/>
        </w:rPr>
      </w:pPr>
      <w:r w:rsidRPr="002725BA">
        <w:rPr>
          <w:rFonts w:ascii="Calibri" w:hAnsi="Calibri" w:cs="Calibri"/>
          <w:sz w:val="22"/>
          <w:szCs w:val="22"/>
        </w:rPr>
        <w:t>Au-delà de</w:t>
      </w:r>
      <w:r w:rsidR="003F38E5" w:rsidRPr="002725BA">
        <w:rPr>
          <w:rFonts w:ascii="Calibri" w:hAnsi="Calibri" w:cs="Calibri"/>
          <w:sz w:val="22"/>
          <w:szCs w:val="22"/>
        </w:rPr>
        <w:t xml:space="preserve"> ces avancées</w:t>
      </w:r>
      <w:r w:rsidRPr="002725BA">
        <w:rPr>
          <w:rFonts w:ascii="Calibri" w:hAnsi="Calibri" w:cs="Calibri"/>
          <w:sz w:val="22"/>
          <w:szCs w:val="22"/>
        </w:rPr>
        <w:t>, cette nouvelle loi souffre d’un mal très français, celui de rassembler au niveau législatif un catalogue de mesures de portée et d’</w:t>
      </w:r>
      <w:r w:rsidR="003F38E5" w:rsidRPr="002725BA">
        <w:rPr>
          <w:rFonts w:ascii="Calibri" w:hAnsi="Calibri" w:cs="Calibri"/>
          <w:sz w:val="22"/>
          <w:szCs w:val="22"/>
        </w:rPr>
        <w:t>importance inégales,</w:t>
      </w:r>
      <w:r w:rsidRPr="002725BA">
        <w:rPr>
          <w:rFonts w:ascii="Calibri" w:hAnsi="Calibri" w:cs="Calibri"/>
          <w:sz w:val="22"/>
          <w:szCs w:val="22"/>
        </w:rPr>
        <w:t xml:space="preserve"> qui viennent cadrer </w:t>
      </w:r>
      <w:r w:rsidR="003F38E5" w:rsidRPr="002725BA">
        <w:rPr>
          <w:rFonts w:ascii="Calibri" w:hAnsi="Calibri" w:cs="Calibri"/>
          <w:sz w:val="22"/>
          <w:szCs w:val="22"/>
        </w:rPr>
        <w:t>avec</w:t>
      </w:r>
      <w:r w:rsidRPr="002725BA">
        <w:rPr>
          <w:rFonts w:ascii="Calibri" w:hAnsi="Calibri" w:cs="Calibri"/>
          <w:sz w:val="22"/>
          <w:szCs w:val="22"/>
        </w:rPr>
        <w:t xml:space="preserve"> luxe de détail des pratiques professionnelles</w:t>
      </w:r>
      <w:r w:rsidR="00536CBF" w:rsidRPr="002725BA">
        <w:rPr>
          <w:rFonts w:ascii="Calibri" w:hAnsi="Calibri" w:cs="Calibri"/>
          <w:sz w:val="22"/>
          <w:szCs w:val="22"/>
        </w:rPr>
        <w:t xml:space="preserve"> de magistrats ou de travailleurs sociaux : formation collégiale de jugement, mesures de milieu ouvert renforcées, prescription de mesures de médiation familiale par les juges des enfants (sans aucunement prévoir les moyens de leur mise en œuvre</w:t>
      </w:r>
      <w:r w:rsidR="003F38E5" w:rsidRPr="002725BA">
        <w:rPr>
          <w:rFonts w:ascii="Calibri" w:hAnsi="Calibri" w:cs="Calibri"/>
          <w:sz w:val="22"/>
          <w:szCs w:val="22"/>
        </w:rPr>
        <w:t> !</w:t>
      </w:r>
      <w:r w:rsidR="00536CBF" w:rsidRPr="002725BA">
        <w:rPr>
          <w:rFonts w:ascii="Calibri" w:hAnsi="Calibri" w:cs="Calibri"/>
          <w:sz w:val="22"/>
          <w:szCs w:val="22"/>
        </w:rPr>
        <w:t>)</w:t>
      </w:r>
      <w:r w:rsidR="003F38E5" w:rsidRPr="002725BA">
        <w:rPr>
          <w:rFonts w:ascii="Calibri" w:hAnsi="Calibri" w:cs="Calibri"/>
          <w:sz w:val="22"/>
          <w:szCs w:val="22"/>
        </w:rPr>
        <w:t xml:space="preserve">, recours </w:t>
      </w:r>
      <w:r w:rsidR="00536CBF" w:rsidRPr="002725BA">
        <w:rPr>
          <w:rFonts w:ascii="Calibri" w:hAnsi="Calibri" w:cs="Calibri"/>
          <w:sz w:val="22"/>
          <w:szCs w:val="22"/>
        </w:rPr>
        <w:t>obligatoire au référentiel de la Haute autorité de santé pour l’évaluation des situations (avec quel déploiement de formation pour l’accompagner ?), développement du parrainage ou du mentorat … Dans le cadre d’une politique décentralisée, le recours à la loi sur autant de domaines</w:t>
      </w:r>
      <w:r w:rsidR="003F38E5" w:rsidRPr="002725BA">
        <w:rPr>
          <w:rFonts w:ascii="Calibri" w:hAnsi="Calibri" w:cs="Calibri"/>
          <w:sz w:val="22"/>
          <w:szCs w:val="22"/>
        </w:rPr>
        <w:t xml:space="preserve"> précis</w:t>
      </w:r>
      <w:r w:rsidR="00536CBF" w:rsidRPr="002725BA">
        <w:rPr>
          <w:rFonts w:ascii="Calibri" w:hAnsi="Calibri" w:cs="Calibri"/>
          <w:sz w:val="22"/>
          <w:szCs w:val="22"/>
        </w:rPr>
        <w:t>, tantôt de façon partielle et renvoyant à des décrets d’application, tantôt sous forme d’incitation, vient dire en creux le soupçon vis-à-vis des acteurs locaux, au premier rang desquels les Départements, chefs de file de la protection de l’enfance.</w:t>
      </w:r>
    </w:p>
    <w:p w14:paraId="08C09592" w14:textId="77777777" w:rsidR="00536CBF" w:rsidRPr="002725BA" w:rsidRDefault="00536CBF" w:rsidP="002C23ED">
      <w:pPr>
        <w:pStyle w:val="NormalWeb"/>
        <w:spacing w:before="0" w:beforeAutospacing="0" w:after="0" w:line="240" w:lineRule="auto"/>
        <w:jc w:val="both"/>
        <w:rPr>
          <w:rFonts w:ascii="Calibri" w:hAnsi="Calibri" w:cs="Calibri"/>
          <w:sz w:val="22"/>
          <w:szCs w:val="22"/>
        </w:rPr>
      </w:pPr>
    </w:p>
    <w:p w14:paraId="5F36C540" w14:textId="77777777" w:rsidR="00536CBF" w:rsidRPr="002725BA" w:rsidRDefault="003F38E5" w:rsidP="002C23ED">
      <w:pPr>
        <w:pStyle w:val="NormalWeb"/>
        <w:spacing w:before="0" w:beforeAutospacing="0" w:after="0" w:line="240" w:lineRule="auto"/>
        <w:jc w:val="both"/>
        <w:rPr>
          <w:rFonts w:ascii="Calibri" w:hAnsi="Calibri" w:cs="Calibri"/>
          <w:sz w:val="22"/>
          <w:szCs w:val="22"/>
        </w:rPr>
      </w:pPr>
      <w:r w:rsidRPr="002725BA">
        <w:rPr>
          <w:rFonts w:ascii="Calibri" w:hAnsi="Calibri" w:cs="Calibri"/>
          <w:sz w:val="22"/>
          <w:szCs w:val="22"/>
        </w:rPr>
        <w:t>Et pourtant</w:t>
      </w:r>
      <w:r w:rsidR="00536CBF" w:rsidRPr="002725BA">
        <w:rPr>
          <w:rFonts w:ascii="Calibri" w:hAnsi="Calibri" w:cs="Calibri"/>
          <w:sz w:val="22"/>
          <w:szCs w:val="22"/>
        </w:rPr>
        <w:t xml:space="preserve"> paradox</w:t>
      </w:r>
      <w:r w:rsidR="002377DF" w:rsidRPr="002725BA">
        <w:rPr>
          <w:rFonts w:ascii="Calibri" w:hAnsi="Calibri" w:cs="Calibri"/>
          <w:sz w:val="22"/>
          <w:szCs w:val="22"/>
        </w:rPr>
        <w:t>alement la loi prévoit</w:t>
      </w:r>
      <w:r w:rsidR="00536CBF" w:rsidRPr="002725BA">
        <w:rPr>
          <w:rFonts w:ascii="Calibri" w:hAnsi="Calibri" w:cs="Calibri"/>
          <w:sz w:val="22"/>
          <w:szCs w:val="22"/>
        </w:rPr>
        <w:t xml:space="preserve"> une gouvernance rénovée</w:t>
      </w:r>
      <w:r w:rsidR="002377DF" w:rsidRPr="002725BA">
        <w:rPr>
          <w:rFonts w:ascii="Calibri" w:hAnsi="Calibri" w:cs="Calibri"/>
          <w:sz w:val="22"/>
          <w:szCs w:val="22"/>
        </w:rPr>
        <w:t xml:space="preserve"> respectueuse de la décentralisation</w:t>
      </w:r>
      <w:r w:rsidR="00536CBF" w:rsidRPr="002725BA">
        <w:rPr>
          <w:rFonts w:ascii="Calibri" w:hAnsi="Calibri" w:cs="Calibri"/>
          <w:sz w:val="22"/>
          <w:szCs w:val="22"/>
        </w:rPr>
        <w:t>, au plan national avec la fusion de plusieurs organismes au sein d’un groupement d’intérêt public qui sera chargé de la production de connaissances et de l’évaluation, de la gestion du numéro de l’enfance en danger, de l’adoption, de l’accès aux origines personnelles</w:t>
      </w:r>
      <w:r w:rsidR="00317423" w:rsidRPr="002725BA">
        <w:rPr>
          <w:rFonts w:ascii="Calibri" w:hAnsi="Calibri" w:cs="Calibri"/>
          <w:sz w:val="22"/>
          <w:szCs w:val="22"/>
        </w:rPr>
        <w:t>,</w:t>
      </w:r>
      <w:r w:rsidR="00536CBF" w:rsidRPr="002725BA">
        <w:rPr>
          <w:rFonts w:ascii="Calibri" w:hAnsi="Calibri" w:cs="Calibri"/>
          <w:sz w:val="22"/>
          <w:szCs w:val="22"/>
        </w:rPr>
        <w:t xml:space="preserve"> et d’assurer le fonctionnement du conseil national de la protection de l’enfance. Cette structure présidée par un Département et regroupant les directions des services de l’Etat ainsi que les parties prenantes de la politique publique</w:t>
      </w:r>
      <w:r w:rsidR="00317423" w:rsidRPr="002725BA">
        <w:rPr>
          <w:rFonts w:ascii="Calibri" w:hAnsi="Calibri" w:cs="Calibri"/>
          <w:sz w:val="22"/>
          <w:szCs w:val="22"/>
        </w:rPr>
        <w:t>,</w:t>
      </w:r>
      <w:r w:rsidR="00536CBF" w:rsidRPr="002725BA">
        <w:rPr>
          <w:rFonts w:ascii="Calibri" w:hAnsi="Calibri" w:cs="Calibri"/>
          <w:sz w:val="22"/>
          <w:szCs w:val="22"/>
        </w:rPr>
        <w:t xml:space="preserve"> peut être une opportunité d’inventer une gouvernance adaptée à la politique à la fois décentralisée mais nécessairement partagée qu’est la protection de l’enfance.</w:t>
      </w:r>
      <w:r w:rsidR="002377DF" w:rsidRPr="002725BA">
        <w:rPr>
          <w:rFonts w:ascii="Calibri" w:hAnsi="Calibri" w:cs="Calibri"/>
          <w:sz w:val="22"/>
          <w:szCs w:val="22"/>
        </w:rPr>
        <w:t xml:space="preserve"> Cette nouvelle structure devrait utilement contribuer à évaluer rigoureusement les effets de la politique menée, une démarche rarement menée, qui pourrait éviter des empilements de dispositions nouvelles alors même que les précédentes n’ont pu être appropriées par les acteurs ou produire leurs effets (cf la mise en œuvre du projet pour l’enfant par exemple). Pour qu’une telle structure prenne sa place dans le système d’acteurs, il sera nécessaire qu’elle dispose de moyens pour mettre en œuvre avec les Départements et les associations qui leur sont liés des programmes expérimentaux, autour d’objectifs précis et évaluables. C’est peut-être là qu’il y a lieu de placer la contractualisation future, en s’appuyant sur un réseau local où l’Etat</w:t>
      </w:r>
      <w:r w:rsidR="00317423" w:rsidRPr="002725BA">
        <w:rPr>
          <w:rFonts w:ascii="Calibri" w:hAnsi="Calibri" w:cs="Calibri"/>
          <w:sz w:val="22"/>
          <w:szCs w:val="22"/>
        </w:rPr>
        <w:t>,</w:t>
      </w:r>
      <w:r w:rsidR="002377DF" w:rsidRPr="002725BA">
        <w:rPr>
          <w:rFonts w:ascii="Calibri" w:hAnsi="Calibri" w:cs="Calibri"/>
          <w:sz w:val="22"/>
          <w:szCs w:val="22"/>
        </w:rPr>
        <w:t xml:space="preserve"> aux côtés des Départements</w:t>
      </w:r>
      <w:r w:rsidR="00317423" w:rsidRPr="002725BA">
        <w:rPr>
          <w:rFonts w:ascii="Calibri" w:hAnsi="Calibri" w:cs="Calibri"/>
          <w:sz w:val="22"/>
          <w:szCs w:val="22"/>
        </w:rPr>
        <w:t>,</w:t>
      </w:r>
      <w:r w:rsidR="002377DF" w:rsidRPr="002725BA">
        <w:rPr>
          <w:rFonts w:ascii="Calibri" w:hAnsi="Calibri" w:cs="Calibri"/>
          <w:sz w:val="22"/>
          <w:szCs w:val="22"/>
        </w:rPr>
        <w:t xml:space="preserve"> trouvera sa place non pas dans une logique de contrôle mais par la mobilisation des politiques de droit commun au service des enfants protégés et jeunes majeurs accompagnés.</w:t>
      </w:r>
    </w:p>
    <w:p w14:paraId="5339FF77" w14:textId="77777777" w:rsidR="002377DF" w:rsidRPr="002725BA" w:rsidRDefault="002377DF" w:rsidP="002C23ED">
      <w:pPr>
        <w:pStyle w:val="NormalWeb"/>
        <w:spacing w:before="0" w:beforeAutospacing="0" w:after="0" w:line="240" w:lineRule="auto"/>
        <w:jc w:val="both"/>
        <w:rPr>
          <w:rFonts w:ascii="Calibri" w:hAnsi="Calibri" w:cs="Calibri"/>
          <w:sz w:val="22"/>
          <w:szCs w:val="22"/>
        </w:rPr>
      </w:pPr>
    </w:p>
    <w:p w14:paraId="730A628D" w14:textId="77777777" w:rsidR="002377DF" w:rsidRPr="002725BA" w:rsidRDefault="002377DF" w:rsidP="002C23ED">
      <w:pPr>
        <w:pStyle w:val="NormalWeb"/>
        <w:spacing w:before="0" w:beforeAutospacing="0" w:after="0" w:line="240" w:lineRule="auto"/>
        <w:jc w:val="both"/>
        <w:rPr>
          <w:rFonts w:ascii="Calibri" w:hAnsi="Calibri" w:cs="Calibri"/>
          <w:sz w:val="22"/>
          <w:szCs w:val="22"/>
        </w:rPr>
      </w:pPr>
      <w:r w:rsidRPr="002725BA">
        <w:rPr>
          <w:rFonts w:ascii="Calibri" w:hAnsi="Calibri" w:cs="Calibri"/>
          <w:sz w:val="22"/>
          <w:szCs w:val="22"/>
        </w:rPr>
        <w:t>Enfin, les derniers articles de la loi portent sur les mineurs non accompagnés (MNA), pomme de discorde entre l’Etat et les Départements depuis plusieurs années</w:t>
      </w:r>
      <w:r w:rsidR="00317423" w:rsidRPr="002725BA">
        <w:rPr>
          <w:rFonts w:ascii="Calibri" w:hAnsi="Calibri" w:cs="Calibri"/>
          <w:sz w:val="22"/>
          <w:szCs w:val="22"/>
        </w:rPr>
        <w:t>. L</w:t>
      </w:r>
      <w:r w:rsidRPr="002725BA">
        <w:rPr>
          <w:rFonts w:ascii="Calibri" w:hAnsi="Calibri" w:cs="Calibri"/>
          <w:sz w:val="22"/>
          <w:szCs w:val="22"/>
        </w:rPr>
        <w:t xml:space="preserve">à encore </w:t>
      </w:r>
      <w:r w:rsidR="00317423" w:rsidRPr="002725BA">
        <w:rPr>
          <w:rFonts w:ascii="Calibri" w:hAnsi="Calibri" w:cs="Calibri"/>
          <w:sz w:val="22"/>
          <w:szCs w:val="22"/>
        </w:rPr>
        <w:t>des contradictions !</w:t>
      </w:r>
      <w:r w:rsidRPr="002725BA">
        <w:rPr>
          <w:rFonts w:ascii="Calibri" w:hAnsi="Calibri" w:cs="Calibri"/>
          <w:sz w:val="22"/>
          <w:szCs w:val="22"/>
        </w:rPr>
        <w:t xml:space="preserve"> La clé de répartition de ces jeunes entre territoires prendra désormais en compte les jeunes majeurs « ex-MNA »</w:t>
      </w:r>
      <w:r w:rsidR="00406079" w:rsidRPr="002725BA">
        <w:rPr>
          <w:rFonts w:ascii="Calibri" w:hAnsi="Calibri" w:cs="Calibri"/>
          <w:sz w:val="22"/>
          <w:szCs w:val="22"/>
        </w:rPr>
        <w:t xml:space="preserve">, corrigeant ainsi les écarts d’un Département à l’autre sur les modalités d’accompagnement après 18 ans de ces jeunes. Cependant elle ne systématise par l’accès au droit au séjour de ces jeunes qui ont été accompagnés par l’ASE, laissant planer le doute sur la pérennité de leur séjour sur le territoire. </w:t>
      </w:r>
      <w:r w:rsidR="00317423" w:rsidRPr="002725BA">
        <w:rPr>
          <w:rFonts w:ascii="Calibri" w:hAnsi="Calibri" w:cs="Calibri"/>
          <w:sz w:val="22"/>
          <w:szCs w:val="22"/>
        </w:rPr>
        <w:t>Par ailleurs</w:t>
      </w:r>
      <w:r w:rsidR="00406079" w:rsidRPr="002725BA">
        <w:rPr>
          <w:rFonts w:ascii="Calibri" w:hAnsi="Calibri" w:cs="Calibri"/>
          <w:sz w:val="22"/>
          <w:szCs w:val="22"/>
        </w:rPr>
        <w:t xml:space="preserve"> elle rend systématique le recours au fichier dit </w:t>
      </w:r>
      <w:r w:rsidR="00317423" w:rsidRPr="002725BA">
        <w:rPr>
          <w:rFonts w:ascii="Calibri" w:hAnsi="Calibri" w:cs="Calibri"/>
          <w:sz w:val="22"/>
          <w:szCs w:val="22"/>
        </w:rPr>
        <w:t>« </w:t>
      </w:r>
      <w:r w:rsidR="00406079" w:rsidRPr="002725BA">
        <w:rPr>
          <w:rFonts w:ascii="Calibri" w:hAnsi="Calibri" w:cs="Calibri"/>
          <w:sz w:val="22"/>
          <w:szCs w:val="22"/>
        </w:rPr>
        <w:t>AEM</w:t>
      </w:r>
      <w:r w:rsidR="00317423" w:rsidRPr="002725BA">
        <w:rPr>
          <w:rFonts w:ascii="Calibri" w:hAnsi="Calibri" w:cs="Calibri"/>
          <w:sz w:val="22"/>
          <w:szCs w:val="22"/>
        </w:rPr>
        <w:t> »</w:t>
      </w:r>
      <w:r w:rsidR="00406079" w:rsidRPr="002725BA">
        <w:rPr>
          <w:rFonts w:ascii="Calibri" w:hAnsi="Calibri" w:cs="Calibri"/>
          <w:sz w:val="22"/>
          <w:szCs w:val="22"/>
        </w:rPr>
        <w:t xml:space="preserve"> (aide à l’évaluation de la minorité), établissant un lien direct entre l’évaluation de ces jeunes et leur statut de migrants, données à communiquer aux services de la Préfecture par les Départements ; ces dispositions ne relèvent pas de la « protection des enfants » comme l’avait souligné le Défenseur des droits ou encore le Conseil national de la protection de l’enfance, et sont donc contraires à l’esprit même de la loi.</w:t>
      </w:r>
    </w:p>
    <w:p w14:paraId="7073B1C2" w14:textId="77777777" w:rsidR="00406079" w:rsidRPr="002725BA" w:rsidRDefault="00406079" w:rsidP="002C23ED">
      <w:pPr>
        <w:pStyle w:val="NormalWeb"/>
        <w:spacing w:before="0" w:beforeAutospacing="0" w:after="0" w:line="240" w:lineRule="auto"/>
        <w:jc w:val="both"/>
        <w:rPr>
          <w:rFonts w:ascii="Calibri" w:hAnsi="Calibri" w:cs="Calibri"/>
          <w:sz w:val="22"/>
          <w:szCs w:val="22"/>
        </w:rPr>
      </w:pPr>
    </w:p>
    <w:p w14:paraId="2177471B" w14:textId="77777777" w:rsidR="00406079" w:rsidRPr="002725BA" w:rsidRDefault="00406079" w:rsidP="002C23ED">
      <w:pPr>
        <w:pStyle w:val="NormalWeb"/>
        <w:spacing w:before="0" w:beforeAutospacing="0" w:after="0" w:line="240" w:lineRule="auto"/>
        <w:jc w:val="both"/>
        <w:rPr>
          <w:rFonts w:ascii="Calibri" w:hAnsi="Calibri" w:cs="Calibri"/>
          <w:sz w:val="22"/>
          <w:szCs w:val="22"/>
        </w:rPr>
      </w:pPr>
      <w:r w:rsidRPr="002725BA">
        <w:rPr>
          <w:rFonts w:ascii="Calibri" w:hAnsi="Calibri" w:cs="Calibri"/>
          <w:sz w:val="22"/>
          <w:szCs w:val="22"/>
        </w:rPr>
        <w:t xml:space="preserve">C’est donc une loi faite de paradoxes entre </w:t>
      </w:r>
      <w:r w:rsidR="00A45D4A" w:rsidRPr="002725BA">
        <w:rPr>
          <w:rFonts w:ascii="Calibri" w:hAnsi="Calibri" w:cs="Calibri"/>
          <w:sz w:val="22"/>
          <w:szCs w:val="22"/>
        </w:rPr>
        <w:t>progrès des droits des enfants</w:t>
      </w:r>
      <w:r w:rsidRPr="002725BA">
        <w:rPr>
          <w:rFonts w:ascii="Calibri" w:hAnsi="Calibri" w:cs="Calibri"/>
          <w:sz w:val="22"/>
          <w:szCs w:val="22"/>
        </w:rPr>
        <w:t xml:space="preserve"> et mesures d’affichage, </w:t>
      </w:r>
      <w:r w:rsidR="00A45D4A" w:rsidRPr="002725BA">
        <w:rPr>
          <w:rFonts w:ascii="Calibri" w:hAnsi="Calibri" w:cs="Calibri"/>
          <w:sz w:val="22"/>
          <w:szCs w:val="22"/>
        </w:rPr>
        <w:t>affirmation de grands principes</w:t>
      </w:r>
      <w:r w:rsidRPr="002725BA">
        <w:rPr>
          <w:rFonts w:ascii="Calibri" w:hAnsi="Calibri" w:cs="Calibri"/>
          <w:sz w:val="22"/>
          <w:szCs w:val="22"/>
        </w:rPr>
        <w:t xml:space="preserve"> </w:t>
      </w:r>
      <w:r w:rsidR="00A45D4A" w:rsidRPr="002725BA">
        <w:rPr>
          <w:rFonts w:ascii="Calibri" w:hAnsi="Calibri" w:cs="Calibri"/>
          <w:sz w:val="22"/>
          <w:szCs w:val="22"/>
        </w:rPr>
        <w:t xml:space="preserve">partagés </w:t>
      </w:r>
      <w:r w:rsidRPr="002725BA">
        <w:rPr>
          <w:rFonts w:ascii="Calibri" w:hAnsi="Calibri" w:cs="Calibri"/>
          <w:sz w:val="22"/>
          <w:szCs w:val="22"/>
        </w:rPr>
        <w:t xml:space="preserve">ou </w:t>
      </w:r>
      <w:r w:rsidR="00A45D4A" w:rsidRPr="002725BA">
        <w:rPr>
          <w:rFonts w:ascii="Calibri" w:hAnsi="Calibri" w:cs="Calibri"/>
          <w:sz w:val="22"/>
          <w:szCs w:val="22"/>
        </w:rPr>
        <w:t xml:space="preserve">petites </w:t>
      </w:r>
      <w:r w:rsidRPr="002725BA">
        <w:rPr>
          <w:rFonts w:ascii="Calibri" w:hAnsi="Calibri" w:cs="Calibri"/>
          <w:sz w:val="22"/>
          <w:szCs w:val="22"/>
        </w:rPr>
        <w:t xml:space="preserve">dispositions </w:t>
      </w:r>
      <w:r w:rsidR="00A45D4A" w:rsidRPr="002725BA">
        <w:rPr>
          <w:rFonts w:ascii="Calibri" w:hAnsi="Calibri" w:cs="Calibri"/>
          <w:sz w:val="22"/>
          <w:szCs w:val="22"/>
        </w:rPr>
        <w:t>techniques</w:t>
      </w:r>
      <w:r w:rsidRPr="002725BA">
        <w:rPr>
          <w:rFonts w:ascii="Calibri" w:hAnsi="Calibri" w:cs="Calibri"/>
          <w:sz w:val="22"/>
          <w:szCs w:val="22"/>
        </w:rPr>
        <w:t>, d’ambiguïtés sur la relation entre l’Etat et les Départements en termes de moyens et rôles respectifs. Les textes d’application et surtout leur mise en œuvre devront appeler</w:t>
      </w:r>
      <w:r w:rsidR="00A45D4A" w:rsidRPr="002725BA">
        <w:rPr>
          <w:rFonts w:ascii="Calibri" w:hAnsi="Calibri" w:cs="Calibri"/>
          <w:sz w:val="22"/>
          <w:szCs w:val="22"/>
        </w:rPr>
        <w:t xml:space="preserve"> un suivi et une évaluation </w:t>
      </w:r>
      <w:r w:rsidRPr="002725BA">
        <w:rPr>
          <w:rFonts w:ascii="Calibri" w:hAnsi="Calibri" w:cs="Calibri"/>
          <w:sz w:val="22"/>
          <w:szCs w:val="22"/>
        </w:rPr>
        <w:t>entre toutes les parties prenantes pour en mesurer la portée effective.</w:t>
      </w:r>
    </w:p>
    <w:p w14:paraId="77EF9260" w14:textId="77777777" w:rsidR="004321F4" w:rsidRDefault="004321F4" w:rsidP="002C23ED">
      <w:pPr>
        <w:jc w:val="both"/>
        <w:rPr>
          <w:rFonts w:ascii="Calibri" w:hAnsi="Calibri" w:cs="Calibri"/>
          <w:sz w:val="22"/>
          <w:szCs w:val="22"/>
        </w:rPr>
      </w:pPr>
    </w:p>
    <w:p w14:paraId="5C5E9CB4" w14:textId="77777777" w:rsidR="007A36E5" w:rsidRDefault="007A36E5" w:rsidP="002C23ED">
      <w:pPr>
        <w:jc w:val="both"/>
        <w:rPr>
          <w:rFonts w:ascii="Calibri" w:hAnsi="Calibri" w:cs="Calibri"/>
          <w:color w:val="ED7D31" w:themeColor="accent2"/>
          <w:sz w:val="22"/>
          <w:szCs w:val="22"/>
        </w:rPr>
      </w:pPr>
    </w:p>
    <w:p w14:paraId="2484D56B" w14:textId="77777777" w:rsidR="007A36E5" w:rsidRDefault="007A36E5" w:rsidP="002C23ED">
      <w:pPr>
        <w:jc w:val="both"/>
        <w:rPr>
          <w:rFonts w:ascii="Calibri" w:hAnsi="Calibri" w:cs="Calibri"/>
          <w:color w:val="ED7D31" w:themeColor="accent2"/>
          <w:sz w:val="22"/>
          <w:szCs w:val="22"/>
        </w:rPr>
      </w:pPr>
    </w:p>
    <w:p w14:paraId="18CA4C20" w14:textId="34AE79D6" w:rsidR="000F0D93" w:rsidRDefault="00C04896" w:rsidP="002C23ED">
      <w:pPr>
        <w:jc w:val="both"/>
        <w:rPr>
          <w:rFonts w:ascii="Calibri" w:hAnsi="Calibri" w:cs="Calibri"/>
          <w:color w:val="ED7D31" w:themeColor="accent2"/>
          <w:sz w:val="22"/>
          <w:szCs w:val="22"/>
        </w:rPr>
      </w:pPr>
      <w:r>
        <w:rPr>
          <w:rFonts w:ascii="Calibri" w:hAnsi="Calibri" w:cs="Calibri"/>
          <w:color w:val="ED7D31" w:themeColor="accent2"/>
          <w:sz w:val="22"/>
          <w:szCs w:val="22"/>
        </w:rPr>
        <w:lastRenderedPageBreak/>
        <w:t>Pierre Stecker</w:t>
      </w:r>
    </w:p>
    <w:p w14:paraId="2FD8E8F6" w14:textId="5874801E" w:rsidR="00C04896" w:rsidRDefault="00C04896" w:rsidP="002C23ED">
      <w:pPr>
        <w:jc w:val="both"/>
        <w:rPr>
          <w:rFonts w:ascii="Calibri" w:hAnsi="Calibri" w:cs="Calibri"/>
          <w:color w:val="ED7D31" w:themeColor="accent2"/>
          <w:sz w:val="22"/>
          <w:szCs w:val="22"/>
        </w:rPr>
      </w:pPr>
      <w:r>
        <w:rPr>
          <w:rFonts w:ascii="Calibri" w:hAnsi="Calibri" w:cs="Calibri"/>
          <w:color w:val="ED7D31" w:themeColor="accent2"/>
          <w:sz w:val="22"/>
          <w:szCs w:val="22"/>
        </w:rPr>
        <w:t>Vice-</w:t>
      </w:r>
      <w:r w:rsidR="002559DF">
        <w:rPr>
          <w:rFonts w:ascii="Calibri" w:hAnsi="Calibri" w:cs="Calibri"/>
          <w:color w:val="ED7D31" w:themeColor="accent2"/>
          <w:sz w:val="22"/>
          <w:szCs w:val="22"/>
        </w:rPr>
        <w:t xml:space="preserve">président </w:t>
      </w:r>
      <w:r>
        <w:rPr>
          <w:rFonts w:ascii="Calibri" w:hAnsi="Calibri" w:cs="Calibri"/>
          <w:color w:val="ED7D31" w:themeColor="accent2"/>
          <w:sz w:val="22"/>
          <w:szCs w:val="22"/>
        </w:rPr>
        <w:t xml:space="preserve"> de</w:t>
      </w:r>
      <w:r w:rsidR="002559DF">
        <w:rPr>
          <w:rFonts w:ascii="Calibri" w:hAnsi="Calibri" w:cs="Calibri"/>
          <w:color w:val="ED7D31" w:themeColor="accent2"/>
          <w:sz w:val="22"/>
          <w:szCs w:val="22"/>
        </w:rPr>
        <w:t xml:space="preserve"> </w:t>
      </w:r>
      <w:r>
        <w:rPr>
          <w:rFonts w:ascii="Calibri" w:hAnsi="Calibri" w:cs="Calibri"/>
          <w:color w:val="ED7D31" w:themeColor="accent2"/>
          <w:sz w:val="22"/>
          <w:szCs w:val="22"/>
        </w:rPr>
        <w:t>l’Andass</w:t>
      </w:r>
      <w:r w:rsidR="002559DF">
        <w:rPr>
          <w:rFonts w:ascii="Calibri" w:hAnsi="Calibri" w:cs="Calibri"/>
          <w:color w:val="ED7D31" w:themeColor="accent2"/>
          <w:sz w:val="22"/>
          <w:szCs w:val="22"/>
        </w:rPr>
        <w:t xml:space="preserve"> </w:t>
      </w:r>
      <w:r w:rsidR="00A9619F">
        <w:rPr>
          <w:rFonts w:ascii="Calibri" w:hAnsi="Calibri" w:cs="Calibri"/>
          <w:color w:val="ED7D31" w:themeColor="accent2"/>
          <w:sz w:val="22"/>
          <w:szCs w:val="22"/>
        </w:rPr>
        <w:t>– Directeur enfance</w:t>
      </w:r>
      <w:r w:rsidR="00062AD7">
        <w:rPr>
          <w:rFonts w:ascii="Calibri" w:hAnsi="Calibri" w:cs="Calibri"/>
          <w:color w:val="ED7D31" w:themeColor="accent2"/>
          <w:sz w:val="22"/>
          <w:szCs w:val="22"/>
        </w:rPr>
        <w:t xml:space="preserve">s et familles de Seine Saint Denis </w:t>
      </w:r>
      <w:r w:rsidR="002559DF">
        <w:rPr>
          <w:rFonts w:ascii="Calibri" w:hAnsi="Calibri" w:cs="Calibri"/>
          <w:color w:val="ED7D31" w:themeColor="accent2"/>
          <w:sz w:val="22"/>
          <w:szCs w:val="22"/>
        </w:rPr>
        <w:t>– Référent du r</w:t>
      </w:r>
      <w:r w:rsidR="00A9619F">
        <w:rPr>
          <w:rFonts w:ascii="Calibri" w:hAnsi="Calibri" w:cs="Calibri"/>
          <w:color w:val="ED7D31" w:themeColor="accent2"/>
          <w:sz w:val="22"/>
          <w:szCs w:val="22"/>
        </w:rPr>
        <w:t>éseau Andass Enfances-Familles-Santé</w:t>
      </w:r>
    </w:p>
    <w:p w14:paraId="0C8B6739" w14:textId="77777777" w:rsidR="00FA7816" w:rsidRDefault="00FA7816" w:rsidP="00307E29">
      <w:pPr>
        <w:rPr>
          <w:rFonts w:asciiTheme="minorHAnsi" w:eastAsiaTheme="minorEastAsia" w:hAnsiTheme="minorHAnsi" w:cstheme="minorBidi"/>
          <w:sz w:val="22"/>
          <w:szCs w:val="22"/>
        </w:rPr>
      </w:pPr>
    </w:p>
    <w:p w14:paraId="01EC7093" w14:textId="106EFA77" w:rsidR="00307E29" w:rsidRPr="00307E29" w:rsidRDefault="00307E29" w:rsidP="00307E29">
      <w:pPr>
        <w:rPr>
          <w:rFonts w:asciiTheme="minorHAnsi" w:eastAsiaTheme="minorEastAsia" w:hAnsiTheme="minorHAnsi" w:cstheme="minorBidi"/>
          <w:i/>
          <w:iCs/>
          <w:sz w:val="16"/>
          <w:szCs w:val="16"/>
        </w:rPr>
      </w:pPr>
      <w:r w:rsidRPr="00307E29">
        <w:rPr>
          <w:rFonts w:asciiTheme="minorHAnsi" w:eastAsiaTheme="minorEastAsia" w:hAnsiTheme="minorHAnsi" w:cstheme="minorBidi"/>
          <w:i/>
          <w:iCs/>
          <w:sz w:val="16"/>
          <w:szCs w:val="16"/>
        </w:rPr>
        <w:t xml:space="preserve">L’ANDASS (Association Nationale des Directeurs d'Action Sociale et de Santé) est une </w:t>
      </w:r>
    </w:p>
    <w:p w14:paraId="66A75765" w14:textId="6B2D457F" w:rsidR="00307E29" w:rsidRPr="00307E29" w:rsidRDefault="00307E29" w:rsidP="00307E29">
      <w:pPr>
        <w:rPr>
          <w:rFonts w:asciiTheme="minorHAnsi" w:eastAsiaTheme="minorEastAsia" w:hAnsiTheme="minorHAnsi" w:cstheme="minorBidi"/>
          <w:i/>
          <w:iCs/>
          <w:sz w:val="16"/>
          <w:szCs w:val="16"/>
        </w:rPr>
      </w:pPr>
      <w:r w:rsidRPr="00307E29">
        <w:rPr>
          <w:rFonts w:asciiTheme="minorHAnsi" w:eastAsiaTheme="minorEastAsia" w:hAnsiTheme="minorHAnsi" w:cstheme="minorBidi"/>
          <w:i/>
          <w:iCs/>
          <w:sz w:val="16"/>
          <w:szCs w:val="16"/>
        </w:rPr>
        <w:t xml:space="preserve">association professionnelle. Son conseil d’administration  représente </w:t>
      </w:r>
    </w:p>
    <w:p w14:paraId="3CD0AD0A" w14:textId="77777777" w:rsidR="00307E29" w:rsidRPr="00307E29" w:rsidRDefault="00307E29" w:rsidP="00307E29">
      <w:pPr>
        <w:rPr>
          <w:rFonts w:asciiTheme="minorHAnsi" w:eastAsiaTheme="minorEastAsia" w:hAnsiTheme="minorHAnsi" w:cstheme="minorBidi"/>
          <w:i/>
          <w:iCs/>
          <w:sz w:val="16"/>
          <w:szCs w:val="16"/>
        </w:rPr>
      </w:pPr>
      <w:r w:rsidRPr="00307E29">
        <w:rPr>
          <w:rFonts w:asciiTheme="minorHAnsi" w:eastAsiaTheme="minorEastAsia" w:hAnsiTheme="minorHAnsi" w:cstheme="minorBidi"/>
          <w:i/>
          <w:iCs/>
          <w:sz w:val="16"/>
          <w:szCs w:val="16"/>
        </w:rPr>
        <w:t xml:space="preserve">plus d’un tiers des départements. L’ANDASS porte l’ambition du développement social, du </w:t>
      </w:r>
    </w:p>
    <w:p w14:paraId="2C8B1FF7" w14:textId="77777777" w:rsidR="00307E29" w:rsidRPr="00307E29" w:rsidRDefault="00307E29" w:rsidP="00307E29">
      <w:pPr>
        <w:rPr>
          <w:rFonts w:asciiTheme="minorHAnsi" w:eastAsiaTheme="minorEastAsia" w:hAnsiTheme="minorHAnsi" w:cstheme="minorBidi"/>
          <w:i/>
          <w:iCs/>
          <w:sz w:val="16"/>
          <w:szCs w:val="16"/>
        </w:rPr>
      </w:pPr>
      <w:r w:rsidRPr="00307E29">
        <w:rPr>
          <w:rFonts w:asciiTheme="minorHAnsi" w:eastAsiaTheme="minorEastAsia" w:hAnsiTheme="minorHAnsi" w:cstheme="minorBidi"/>
          <w:i/>
          <w:iCs/>
          <w:sz w:val="16"/>
          <w:szCs w:val="16"/>
        </w:rPr>
        <w:t xml:space="preserve">travail collectif, de l’accompagnement global des personnes dans leur parcours vers </w:t>
      </w:r>
    </w:p>
    <w:p w14:paraId="70561D92" w14:textId="77777777" w:rsidR="00307E29" w:rsidRPr="00307E29" w:rsidRDefault="00307E29" w:rsidP="00307E29">
      <w:pPr>
        <w:rPr>
          <w:rFonts w:asciiTheme="minorHAnsi" w:eastAsiaTheme="minorEastAsia" w:hAnsiTheme="minorHAnsi" w:cstheme="minorBidi"/>
          <w:i/>
          <w:iCs/>
          <w:sz w:val="16"/>
          <w:szCs w:val="16"/>
        </w:rPr>
      </w:pPr>
      <w:r w:rsidRPr="00307E29">
        <w:rPr>
          <w:rFonts w:asciiTheme="minorHAnsi" w:eastAsiaTheme="minorEastAsia" w:hAnsiTheme="minorHAnsi" w:cstheme="minorBidi"/>
          <w:i/>
          <w:iCs/>
          <w:sz w:val="16"/>
          <w:szCs w:val="16"/>
        </w:rPr>
        <w:t xml:space="preserve">l’autonomie. L’ANDASS favorise les partenariats d'action et les coopérations. Pour </w:t>
      </w:r>
    </w:p>
    <w:p w14:paraId="32B957E3" w14:textId="77777777" w:rsidR="00307E29" w:rsidRPr="00307E29" w:rsidRDefault="00307E29" w:rsidP="00307E29">
      <w:pPr>
        <w:rPr>
          <w:rFonts w:asciiTheme="minorHAnsi" w:eastAsiaTheme="minorEastAsia" w:hAnsiTheme="minorHAnsi" w:cstheme="minorBidi"/>
          <w:i/>
          <w:iCs/>
          <w:sz w:val="16"/>
          <w:szCs w:val="16"/>
        </w:rPr>
      </w:pPr>
      <w:r w:rsidRPr="00307E29">
        <w:rPr>
          <w:rFonts w:asciiTheme="minorHAnsi" w:eastAsiaTheme="minorEastAsia" w:hAnsiTheme="minorHAnsi" w:cstheme="minorBidi"/>
          <w:i/>
          <w:iCs/>
          <w:sz w:val="16"/>
          <w:szCs w:val="16"/>
        </w:rPr>
        <w:t xml:space="preserve">l’ANDASS, les dépenses sociales ne constituent pas un simple coût mais un investissement </w:t>
      </w:r>
    </w:p>
    <w:p w14:paraId="0B6D5E09" w14:textId="77777777" w:rsidR="00307E29" w:rsidRPr="00307E29" w:rsidRDefault="00307E29" w:rsidP="00307E29">
      <w:pPr>
        <w:rPr>
          <w:rFonts w:asciiTheme="minorHAnsi" w:eastAsiaTheme="minorEastAsia" w:hAnsiTheme="minorHAnsi" w:cstheme="minorBidi"/>
          <w:i/>
          <w:iCs/>
          <w:sz w:val="16"/>
          <w:szCs w:val="16"/>
        </w:rPr>
      </w:pPr>
      <w:r w:rsidRPr="00307E29">
        <w:rPr>
          <w:rFonts w:asciiTheme="minorHAnsi" w:eastAsiaTheme="minorEastAsia" w:hAnsiTheme="minorHAnsi" w:cstheme="minorBidi"/>
          <w:i/>
          <w:iCs/>
          <w:sz w:val="16"/>
          <w:szCs w:val="16"/>
        </w:rPr>
        <w:t xml:space="preserve">dans le développement humain. L’ANDASS appelle à un choc de simplification afin de libérer </w:t>
      </w:r>
    </w:p>
    <w:p w14:paraId="7DBD2614" w14:textId="77777777" w:rsidR="00307E29" w:rsidRPr="00307E29" w:rsidRDefault="00307E29" w:rsidP="00307E29">
      <w:pPr>
        <w:rPr>
          <w:rFonts w:asciiTheme="minorHAnsi" w:eastAsiaTheme="minorEastAsia" w:hAnsiTheme="minorHAnsi" w:cstheme="minorBidi"/>
          <w:i/>
          <w:iCs/>
          <w:sz w:val="16"/>
          <w:szCs w:val="16"/>
        </w:rPr>
      </w:pPr>
      <w:r w:rsidRPr="00307E29">
        <w:rPr>
          <w:rFonts w:asciiTheme="minorHAnsi" w:eastAsiaTheme="minorEastAsia" w:hAnsiTheme="minorHAnsi" w:cstheme="minorBidi"/>
          <w:i/>
          <w:iCs/>
          <w:sz w:val="16"/>
          <w:szCs w:val="16"/>
        </w:rPr>
        <w:t xml:space="preserve">le pouvoir d’agir des élus, des citoyens, des professionnels, des bénévoles et des </w:t>
      </w:r>
    </w:p>
    <w:p w14:paraId="5C6AD0EA" w14:textId="77777777" w:rsidR="00307E29" w:rsidRPr="00307E29" w:rsidRDefault="00307E29" w:rsidP="00307E29">
      <w:pPr>
        <w:rPr>
          <w:rFonts w:asciiTheme="minorHAnsi" w:eastAsiaTheme="minorEastAsia" w:hAnsiTheme="minorHAnsi" w:cstheme="minorBidi"/>
          <w:i/>
          <w:iCs/>
          <w:sz w:val="16"/>
          <w:szCs w:val="16"/>
        </w:rPr>
      </w:pPr>
      <w:r w:rsidRPr="00307E29">
        <w:rPr>
          <w:rFonts w:asciiTheme="minorHAnsi" w:eastAsiaTheme="minorEastAsia" w:hAnsiTheme="minorHAnsi" w:cstheme="minorBidi"/>
          <w:i/>
          <w:iCs/>
          <w:sz w:val="16"/>
          <w:szCs w:val="16"/>
        </w:rPr>
        <w:t xml:space="preserve">organisations afin de s’orienter vers une société plus inclusive et citoyenne. Estimant que les </w:t>
      </w:r>
    </w:p>
    <w:p w14:paraId="08DD8065" w14:textId="77777777" w:rsidR="00307E29" w:rsidRPr="00307E29" w:rsidRDefault="00307E29" w:rsidP="00307E29">
      <w:pPr>
        <w:rPr>
          <w:rFonts w:asciiTheme="minorHAnsi" w:eastAsiaTheme="minorEastAsia" w:hAnsiTheme="minorHAnsi" w:cstheme="minorBidi"/>
          <w:i/>
          <w:iCs/>
          <w:sz w:val="16"/>
          <w:szCs w:val="16"/>
        </w:rPr>
      </w:pPr>
      <w:r w:rsidRPr="00307E29">
        <w:rPr>
          <w:rFonts w:asciiTheme="minorHAnsi" w:eastAsiaTheme="minorEastAsia" w:hAnsiTheme="minorHAnsi" w:cstheme="minorBidi"/>
          <w:i/>
          <w:iCs/>
          <w:sz w:val="16"/>
          <w:szCs w:val="16"/>
        </w:rPr>
        <w:t xml:space="preserve">politiques de solidarités doivent irriguer et se nourrir de l'ensemble des politiques, l’ANDASS </w:t>
      </w:r>
    </w:p>
    <w:p w14:paraId="34935EEF" w14:textId="77777777" w:rsidR="00307E29" w:rsidRPr="00307E29" w:rsidRDefault="00307E29" w:rsidP="00307E29">
      <w:pPr>
        <w:rPr>
          <w:rFonts w:asciiTheme="minorHAnsi" w:eastAsiaTheme="minorEastAsia" w:hAnsiTheme="minorHAnsi" w:cstheme="minorBidi"/>
          <w:i/>
          <w:iCs/>
          <w:sz w:val="16"/>
          <w:szCs w:val="16"/>
        </w:rPr>
      </w:pPr>
      <w:r w:rsidRPr="00307E29">
        <w:rPr>
          <w:rFonts w:asciiTheme="minorHAnsi" w:eastAsiaTheme="minorEastAsia" w:hAnsiTheme="minorHAnsi" w:cstheme="minorBidi"/>
          <w:i/>
          <w:iCs/>
          <w:sz w:val="16"/>
          <w:szCs w:val="16"/>
        </w:rPr>
        <w:t xml:space="preserve">participe, par ses analyses et ses propositions concrètes issues de la diversité des territoires, </w:t>
      </w:r>
    </w:p>
    <w:p w14:paraId="03B12A2B" w14:textId="55756F86" w:rsidR="00307E29" w:rsidRPr="00307E29" w:rsidRDefault="00307E29" w:rsidP="00307E29">
      <w:pPr>
        <w:rPr>
          <w:rFonts w:asciiTheme="minorHAnsi" w:eastAsiaTheme="minorEastAsia" w:hAnsiTheme="minorHAnsi" w:cstheme="minorBidi"/>
          <w:i/>
          <w:iCs/>
          <w:sz w:val="16"/>
          <w:szCs w:val="16"/>
        </w:rPr>
      </w:pPr>
      <w:r w:rsidRPr="00307E29">
        <w:rPr>
          <w:rFonts w:asciiTheme="minorHAnsi" w:eastAsiaTheme="minorEastAsia" w:hAnsiTheme="minorHAnsi" w:cstheme="minorBidi"/>
          <w:i/>
          <w:iCs/>
          <w:sz w:val="16"/>
          <w:szCs w:val="16"/>
        </w:rPr>
        <w:t xml:space="preserve">à la modernisation d'un service public </w:t>
      </w:r>
      <w:r w:rsidR="00241523">
        <w:rPr>
          <w:rFonts w:asciiTheme="minorHAnsi" w:eastAsiaTheme="minorEastAsia" w:hAnsiTheme="minorHAnsi" w:cstheme="minorBidi"/>
          <w:i/>
          <w:iCs/>
          <w:sz w:val="16"/>
          <w:szCs w:val="16"/>
        </w:rPr>
        <w:t xml:space="preserve">de </w:t>
      </w:r>
      <w:r w:rsidR="007A36E5">
        <w:rPr>
          <w:rFonts w:asciiTheme="minorHAnsi" w:eastAsiaTheme="minorEastAsia" w:hAnsiTheme="minorHAnsi" w:cstheme="minorBidi"/>
          <w:i/>
          <w:iCs/>
          <w:sz w:val="16"/>
          <w:szCs w:val="16"/>
        </w:rPr>
        <w:t xml:space="preserve">la vie quotidienne </w:t>
      </w:r>
      <w:r w:rsidRPr="00307E29">
        <w:rPr>
          <w:rFonts w:asciiTheme="minorHAnsi" w:eastAsiaTheme="minorEastAsia" w:hAnsiTheme="minorHAnsi" w:cstheme="minorBidi"/>
          <w:i/>
          <w:iCs/>
          <w:sz w:val="16"/>
          <w:szCs w:val="16"/>
        </w:rPr>
        <w:t xml:space="preserve">de proximité et de qualité. </w:t>
      </w:r>
      <w:r w:rsidR="007A36E5">
        <w:rPr>
          <w:rFonts w:asciiTheme="minorHAnsi" w:eastAsiaTheme="minorEastAsia" w:hAnsiTheme="minorHAnsi" w:cstheme="minorBidi"/>
          <w:i/>
          <w:iCs/>
          <w:sz w:val="16"/>
          <w:szCs w:val="16"/>
        </w:rPr>
        <w:t xml:space="preserve"> </w:t>
      </w:r>
    </w:p>
    <w:p w14:paraId="3B529E68" w14:textId="23D9E020" w:rsidR="00307E29" w:rsidRPr="00307E29" w:rsidRDefault="00307E29" w:rsidP="00307E29">
      <w:pPr>
        <w:rPr>
          <w:rFonts w:asciiTheme="minorHAnsi" w:eastAsiaTheme="minorEastAsia" w:hAnsiTheme="minorHAnsi" w:cstheme="minorBidi"/>
          <w:i/>
          <w:iCs/>
          <w:sz w:val="16"/>
          <w:szCs w:val="16"/>
        </w:rPr>
      </w:pPr>
    </w:p>
    <w:p w14:paraId="6B93DC23" w14:textId="77777777" w:rsidR="00307E29" w:rsidRPr="00307E29" w:rsidRDefault="00307E29" w:rsidP="00307E29">
      <w:pPr>
        <w:rPr>
          <w:rFonts w:asciiTheme="minorHAnsi" w:eastAsiaTheme="minorEastAsia" w:hAnsiTheme="minorHAnsi" w:cstheme="minorBidi"/>
          <w:sz w:val="22"/>
          <w:szCs w:val="22"/>
        </w:rPr>
      </w:pPr>
      <w:hyperlink r:id="rId12" w:history="1">
        <w:r w:rsidRPr="00307E29">
          <w:rPr>
            <w:rFonts w:asciiTheme="minorHAnsi" w:eastAsiaTheme="minorEastAsia" w:hAnsiTheme="minorHAnsi" w:cstheme="minorBidi"/>
            <w:color w:val="0563C1" w:themeColor="hyperlink"/>
            <w:sz w:val="22"/>
            <w:szCs w:val="22"/>
            <w:u w:val="single"/>
          </w:rPr>
          <w:t>https://www.andass.fr</w:t>
        </w:r>
      </w:hyperlink>
    </w:p>
    <w:p w14:paraId="22711B2F" w14:textId="77777777" w:rsidR="00307E29" w:rsidRPr="00307E29" w:rsidRDefault="00307E29" w:rsidP="00307E29">
      <w:pPr>
        <w:rPr>
          <w:rFonts w:asciiTheme="minorHAnsi" w:eastAsiaTheme="minorEastAsia" w:hAnsiTheme="minorHAnsi" w:cstheme="minorBidi"/>
          <w:sz w:val="22"/>
          <w:szCs w:val="22"/>
        </w:rPr>
      </w:pPr>
    </w:p>
    <w:p w14:paraId="56B89301" w14:textId="77777777" w:rsidR="00307E29" w:rsidRDefault="00307E29" w:rsidP="002C23ED">
      <w:pPr>
        <w:jc w:val="both"/>
        <w:rPr>
          <w:rFonts w:ascii="Calibri" w:hAnsi="Calibri" w:cs="Calibri"/>
          <w:color w:val="ED7D31" w:themeColor="accent2"/>
          <w:sz w:val="22"/>
          <w:szCs w:val="22"/>
        </w:rPr>
      </w:pPr>
    </w:p>
    <w:p w14:paraId="41FA7BBA" w14:textId="77777777" w:rsidR="002559DF" w:rsidRDefault="002559DF" w:rsidP="002C23ED">
      <w:pPr>
        <w:jc w:val="both"/>
        <w:rPr>
          <w:rFonts w:ascii="Calibri" w:hAnsi="Calibri" w:cs="Calibri"/>
          <w:color w:val="ED7D31" w:themeColor="accent2"/>
          <w:sz w:val="22"/>
          <w:szCs w:val="22"/>
        </w:rPr>
      </w:pPr>
    </w:p>
    <w:p w14:paraId="7E022857" w14:textId="2F1110E1" w:rsidR="00062AD7" w:rsidRPr="00C04896" w:rsidRDefault="00062AD7" w:rsidP="002C23ED">
      <w:pPr>
        <w:jc w:val="both"/>
        <w:rPr>
          <w:rFonts w:ascii="Calibri" w:hAnsi="Calibri" w:cs="Calibri"/>
          <w:color w:val="ED7D31" w:themeColor="accent2"/>
          <w:sz w:val="22"/>
          <w:szCs w:val="22"/>
        </w:rPr>
      </w:pPr>
    </w:p>
    <w:sectPr w:rsidR="00062AD7" w:rsidRPr="00C04896" w:rsidSect="0093374D">
      <w:footerReference w:type="even" r:id="rId13"/>
      <w:footerReference w:type="default" r:id="rId14"/>
      <w:pgSz w:w="11906" w:h="16838"/>
      <w:pgMar w:top="851" w:right="851" w:bottom="851" w:left="936" w:header="720"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land Giraud" w:date="2022-02-14T14:13:00Z" w:initials="RG">
    <w:p w14:paraId="0FD6C26D" w14:textId="77777777" w:rsidR="0070024A" w:rsidRDefault="0070024A" w:rsidP="00841486">
      <w:r>
        <w:rPr>
          <w:rStyle w:val="Marquedecommentaire"/>
        </w:rPr>
        <w:annotationRef/>
      </w:r>
      <w:r>
        <w:rPr>
          <w:sz w:val="20"/>
          <w:szCs w:val="20"/>
        </w:rPr>
        <w:t>Peut être mettre …sous peine de demeurer…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D6C2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4E224" w16cex:dateUtc="2022-02-14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D6C26D" w16cid:durableId="25B4E2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2744" w14:textId="77777777" w:rsidR="00B14CA9" w:rsidRDefault="00B14CA9">
      <w:r>
        <w:separator/>
      </w:r>
    </w:p>
  </w:endnote>
  <w:endnote w:type="continuationSeparator" w:id="0">
    <w:p w14:paraId="46058F00" w14:textId="77777777" w:rsidR="00B14CA9" w:rsidRDefault="00B1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2658" w14:textId="77777777" w:rsidR="006E721F" w:rsidRDefault="006E721F" w:rsidP="00A06F7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BCAEBF6" w14:textId="77777777" w:rsidR="006E721F" w:rsidRDefault="006E721F" w:rsidP="006E721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1611" w14:textId="77777777" w:rsidR="006E721F" w:rsidRDefault="006E721F" w:rsidP="00A06F7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45D4A">
      <w:rPr>
        <w:rStyle w:val="Numrodepage"/>
        <w:noProof/>
      </w:rPr>
      <w:t>2</w:t>
    </w:r>
    <w:r>
      <w:rPr>
        <w:rStyle w:val="Numrodepage"/>
      </w:rPr>
      <w:fldChar w:fldCharType="end"/>
    </w:r>
  </w:p>
  <w:p w14:paraId="748D510E" w14:textId="77777777" w:rsidR="006E721F" w:rsidRDefault="006E721F" w:rsidP="006E721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08C0" w14:textId="77777777" w:rsidR="00B14CA9" w:rsidRDefault="00B14CA9">
      <w:r>
        <w:separator/>
      </w:r>
    </w:p>
  </w:footnote>
  <w:footnote w:type="continuationSeparator" w:id="0">
    <w:p w14:paraId="5E1D9D99" w14:textId="77777777" w:rsidR="00B14CA9" w:rsidRDefault="00B14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8D1"/>
    <w:multiLevelType w:val="hybridMultilevel"/>
    <w:tmpl w:val="7EF8643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EC4186B"/>
    <w:multiLevelType w:val="hybridMultilevel"/>
    <w:tmpl w:val="83142800"/>
    <w:lvl w:ilvl="0" w:tplc="06CE802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41680"/>
    <w:multiLevelType w:val="hybridMultilevel"/>
    <w:tmpl w:val="DAD6C118"/>
    <w:lvl w:ilvl="0" w:tplc="B62C2B56">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A491F"/>
    <w:multiLevelType w:val="hybridMultilevel"/>
    <w:tmpl w:val="2EBA0FF4"/>
    <w:lvl w:ilvl="0" w:tplc="321CBB0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34D2A"/>
    <w:multiLevelType w:val="hybridMultilevel"/>
    <w:tmpl w:val="87A8BF78"/>
    <w:lvl w:ilvl="0" w:tplc="7E9E14A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321AD7"/>
    <w:multiLevelType w:val="hybridMultilevel"/>
    <w:tmpl w:val="B8BA43E0"/>
    <w:lvl w:ilvl="0" w:tplc="FB081958">
      <w:start w:val="9"/>
      <w:numFmt w:val="bullet"/>
      <w:lvlText w:val="-"/>
      <w:lvlJc w:val="left"/>
      <w:pPr>
        <w:ind w:left="1425" w:hanging="360"/>
      </w:pPr>
      <w:rPr>
        <w:rFonts w:ascii="Calibri" w:eastAsia="Calibri" w:hAnsi="Calibri" w:cs="Calibri"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15:restartNumberingAfterBreak="0">
    <w:nsid w:val="205504E9"/>
    <w:multiLevelType w:val="hybridMultilevel"/>
    <w:tmpl w:val="F9AA70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8E1819"/>
    <w:multiLevelType w:val="hybridMultilevel"/>
    <w:tmpl w:val="F8D0CFA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4130442"/>
    <w:multiLevelType w:val="hybridMultilevel"/>
    <w:tmpl w:val="6FDEFA7A"/>
    <w:lvl w:ilvl="0" w:tplc="AA7014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04621B"/>
    <w:multiLevelType w:val="hybridMultilevel"/>
    <w:tmpl w:val="F44213D6"/>
    <w:lvl w:ilvl="0" w:tplc="040C0001">
      <w:start w:val="1"/>
      <w:numFmt w:val="bullet"/>
      <w:lvlText w:val=""/>
      <w:lvlJc w:val="left"/>
      <w:pPr>
        <w:ind w:left="720" w:hanging="360"/>
      </w:pPr>
      <w:rPr>
        <w:rFonts w:ascii="Symbol" w:hAnsi="Symbol" w:hint="default"/>
      </w:rPr>
    </w:lvl>
    <w:lvl w:ilvl="1" w:tplc="71F2B8F2">
      <w:numFmt w:val="bullet"/>
      <w:lvlText w:val="-"/>
      <w:lvlJc w:val="left"/>
      <w:pPr>
        <w:ind w:left="1440" w:hanging="360"/>
      </w:pPr>
      <w:rPr>
        <w:rFonts w:ascii="Arial" w:eastAsia="Times New Roman" w:hAnsi="Arial" w:cs="Arial" w:hint="default"/>
      </w:rPr>
    </w:lvl>
    <w:lvl w:ilvl="2" w:tplc="040C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DB2C98"/>
    <w:multiLevelType w:val="hybridMultilevel"/>
    <w:tmpl w:val="FB0CA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DB74A6"/>
    <w:multiLevelType w:val="hybridMultilevel"/>
    <w:tmpl w:val="B9D24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5F095B"/>
    <w:multiLevelType w:val="hybridMultilevel"/>
    <w:tmpl w:val="DF06A67A"/>
    <w:lvl w:ilvl="0" w:tplc="4442136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330279"/>
    <w:multiLevelType w:val="hybridMultilevel"/>
    <w:tmpl w:val="587AA286"/>
    <w:lvl w:ilvl="0" w:tplc="8070D9A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636195"/>
    <w:multiLevelType w:val="hybridMultilevel"/>
    <w:tmpl w:val="D1D80A1A"/>
    <w:lvl w:ilvl="0" w:tplc="8E20F1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6274FC"/>
    <w:multiLevelType w:val="hybridMultilevel"/>
    <w:tmpl w:val="5B1470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57B6CB0"/>
    <w:multiLevelType w:val="hybridMultilevel"/>
    <w:tmpl w:val="B0846726"/>
    <w:lvl w:ilvl="0" w:tplc="5DE82AE4">
      <w:numFmt w:val="bullet"/>
      <w:lvlText w:val="-"/>
      <w:lvlJc w:val="left"/>
      <w:pPr>
        <w:ind w:left="1425" w:hanging="360"/>
      </w:pPr>
      <w:rPr>
        <w:rFonts w:ascii="Calibri" w:eastAsia="Calibri" w:hAnsi="Calibri" w:cs="Calibri" w:hint="default"/>
      </w:rPr>
    </w:lvl>
    <w:lvl w:ilvl="1" w:tplc="5DE82AE4">
      <w:numFmt w:val="bullet"/>
      <w:lvlText w:val="-"/>
      <w:lvlJc w:val="left"/>
      <w:pPr>
        <w:ind w:left="2145" w:hanging="360"/>
      </w:pPr>
      <w:rPr>
        <w:rFonts w:ascii="Calibri" w:eastAsia="Calibri" w:hAnsi="Calibri" w:cs="Calibri" w:hint="default"/>
      </w:rPr>
    </w:lvl>
    <w:lvl w:ilvl="2" w:tplc="040C0005">
      <w:start w:val="1"/>
      <w:numFmt w:val="bullet"/>
      <w:lvlText w:val=""/>
      <w:lvlJc w:val="left"/>
      <w:pPr>
        <w:ind w:left="2865" w:hanging="360"/>
      </w:pPr>
      <w:rPr>
        <w:rFonts w:ascii="Wingdings" w:hAnsi="Wingdings" w:hint="default"/>
      </w:rPr>
    </w:lvl>
    <w:lvl w:ilvl="3" w:tplc="040C0001">
      <w:start w:val="1"/>
      <w:numFmt w:val="bullet"/>
      <w:lvlText w:val=""/>
      <w:lvlJc w:val="left"/>
      <w:pPr>
        <w:ind w:left="3585" w:hanging="360"/>
      </w:pPr>
      <w:rPr>
        <w:rFonts w:ascii="Symbol" w:hAnsi="Symbol" w:hint="default"/>
      </w:rPr>
    </w:lvl>
    <w:lvl w:ilvl="4" w:tplc="040C0003">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7" w15:restartNumberingAfterBreak="0">
    <w:nsid w:val="69216BD6"/>
    <w:multiLevelType w:val="hybridMultilevel"/>
    <w:tmpl w:val="5942A2BC"/>
    <w:lvl w:ilvl="0" w:tplc="1384209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71620E"/>
    <w:multiLevelType w:val="hybridMultilevel"/>
    <w:tmpl w:val="1920347C"/>
    <w:lvl w:ilvl="0" w:tplc="F1EEE53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053152"/>
    <w:multiLevelType w:val="hybridMultilevel"/>
    <w:tmpl w:val="491C2EAE"/>
    <w:lvl w:ilvl="0" w:tplc="4C92DE7E">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A8779B"/>
    <w:multiLevelType w:val="hybridMultilevel"/>
    <w:tmpl w:val="F3E66D90"/>
    <w:lvl w:ilvl="0" w:tplc="A34E53A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DE3A7B"/>
    <w:multiLevelType w:val="hybridMultilevel"/>
    <w:tmpl w:val="6C545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166EAB"/>
    <w:multiLevelType w:val="hybridMultilevel"/>
    <w:tmpl w:val="C6A06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8"/>
  </w:num>
  <w:num w:numId="4">
    <w:abstractNumId w:val="17"/>
  </w:num>
  <w:num w:numId="5">
    <w:abstractNumId w:val="20"/>
  </w:num>
  <w:num w:numId="6">
    <w:abstractNumId w:val="13"/>
  </w:num>
  <w:num w:numId="7">
    <w:abstractNumId w:val="2"/>
  </w:num>
  <w:num w:numId="8">
    <w:abstractNumId w:val="12"/>
  </w:num>
  <w:num w:numId="9">
    <w:abstractNumId w:val="0"/>
  </w:num>
  <w:num w:numId="10">
    <w:abstractNumId w:val="7"/>
  </w:num>
  <w:num w:numId="11">
    <w:abstractNumId w:val="19"/>
  </w:num>
  <w:num w:numId="12">
    <w:abstractNumId w:val="3"/>
  </w:num>
  <w:num w:numId="13">
    <w:abstractNumId w:val="22"/>
  </w:num>
  <w:num w:numId="14">
    <w:abstractNumId w:val="10"/>
  </w:num>
  <w:num w:numId="15">
    <w:abstractNumId w:val="21"/>
  </w:num>
  <w:num w:numId="16">
    <w:abstractNumId w:val="11"/>
  </w:num>
  <w:num w:numId="17">
    <w:abstractNumId w:val="8"/>
  </w:num>
  <w:num w:numId="18">
    <w:abstractNumId w:val="16"/>
  </w:num>
  <w:num w:numId="19">
    <w:abstractNumId w:val="5"/>
  </w:num>
  <w:num w:numId="20">
    <w:abstractNumId w:val="6"/>
  </w:num>
  <w:num w:numId="21">
    <w:abstractNumId w:val="9"/>
  </w:num>
  <w:num w:numId="22">
    <w:abstractNumId w:val="15"/>
  </w:num>
  <w:num w:numId="23">
    <w:abstractNumId w:val="4"/>
  </w:num>
  <w:num w:numId="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land Giraud">
    <w15:presenceInfo w15:providerId="Windows Live" w15:userId="9e1e5eb06b939f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35"/>
    <w:rsid w:val="00002AEB"/>
    <w:rsid w:val="000225F4"/>
    <w:rsid w:val="00022D5C"/>
    <w:rsid w:val="00023CC2"/>
    <w:rsid w:val="000262BA"/>
    <w:rsid w:val="00043A05"/>
    <w:rsid w:val="0004728E"/>
    <w:rsid w:val="00052F6A"/>
    <w:rsid w:val="00062AD7"/>
    <w:rsid w:val="00062BA7"/>
    <w:rsid w:val="00062EEA"/>
    <w:rsid w:val="00066D1F"/>
    <w:rsid w:val="00086BE6"/>
    <w:rsid w:val="00087AF4"/>
    <w:rsid w:val="0009073A"/>
    <w:rsid w:val="00090E18"/>
    <w:rsid w:val="000979CB"/>
    <w:rsid w:val="000A3C82"/>
    <w:rsid w:val="000A4542"/>
    <w:rsid w:val="000B5CB5"/>
    <w:rsid w:val="000B7C76"/>
    <w:rsid w:val="000C791E"/>
    <w:rsid w:val="000D1315"/>
    <w:rsid w:val="000D6FAE"/>
    <w:rsid w:val="000D7B7D"/>
    <w:rsid w:val="000E13D1"/>
    <w:rsid w:val="000F0D93"/>
    <w:rsid w:val="000F7FE1"/>
    <w:rsid w:val="00102F09"/>
    <w:rsid w:val="00117F95"/>
    <w:rsid w:val="00123CAC"/>
    <w:rsid w:val="001320E6"/>
    <w:rsid w:val="00162A1B"/>
    <w:rsid w:val="0017147B"/>
    <w:rsid w:val="00194EF9"/>
    <w:rsid w:val="001C54E3"/>
    <w:rsid w:val="001F56D1"/>
    <w:rsid w:val="002112B1"/>
    <w:rsid w:val="00213A7B"/>
    <w:rsid w:val="00215CC0"/>
    <w:rsid w:val="002340AF"/>
    <w:rsid w:val="002377DF"/>
    <w:rsid w:val="00241523"/>
    <w:rsid w:val="00242A27"/>
    <w:rsid w:val="002559DF"/>
    <w:rsid w:val="00257C36"/>
    <w:rsid w:val="002710F5"/>
    <w:rsid w:val="002725BA"/>
    <w:rsid w:val="00277B35"/>
    <w:rsid w:val="00282BF5"/>
    <w:rsid w:val="00283EC7"/>
    <w:rsid w:val="0029161D"/>
    <w:rsid w:val="002928D8"/>
    <w:rsid w:val="002A17D2"/>
    <w:rsid w:val="002A6EF2"/>
    <w:rsid w:val="002C23ED"/>
    <w:rsid w:val="002C4FDA"/>
    <w:rsid w:val="002E0284"/>
    <w:rsid w:val="002E36DD"/>
    <w:rsid w:val="002E4943"/>
    <w:rsid w:val="00304891"/>
    <w:rsid w:val="00304B59"/>
    <w:rsid w:val="00306294"/>
    <w:rsid w:val="003062C1"/>
    <w:rsid w:val="00307E29"/>
    <w:rsid w:val="00317423"/>
    <w:rsid w:val="003278A4"/>
    <w:rsid w:val="00334069"/>
    <w:rsid w:val="00350FB7"/>
    <w:rsid w:val="00357D69"/>
    <w:rsid w:val="003628C2"/>
    <w:rsid w:val="003935B6"/>
    <w:rsid w:val="003A351F"/>
    <w:rsid w:val="003C39EF"/>
    <w:rsid w:val="003D1AD3"/>
    <w:rsid w:val="003E395C"/>
    <w:rsid w:val="003F38E5"/>
    <w:rsid w:val="00401158"/>
    <w:rsid w:val="00406079"/>
    <w:rsid w:val="004321F4"/>
    <w:rsid w:val="004518D0"/>
    <w:rsid w:val="0045347B"/>
    <w:rsid w:val="00463575"/>
    <w:rsid w:val="004652A9"/>
    <w:rsid w:val="00482221"/>
    <w:rsid w:val="00492360"/>
    <w:rsid w:val="0049265E"/>
    <w:rsid w:val="004A1ED9"/>
    <w:rsid w:val="004A204D"/>
    <w:rsid w:val="004C6008"/>
    <w:rsid w:val="004C7528"/>
    <w:rsid w:val="004E1F97"/>
    <w:rsid w:val="00506AFD"/>
    <w:rsid w:val="00525F37"/>
    <w:rsid w:val="00527CD0"/>
    <w:rsid w:val="00527F98"/>
    <w:rsid w:val="00536CBF"/>
    <w:rsid w:val="00546D94"/>
    <w:rsid w:val="0056709F"/>
    <w:rsid w:val="005713AC"/>
    <w:rsid w:val="00584B92"/>
    <w:rsid w:val="00590E24"/>
    <w:rsid w:val="00595589"/>
    <w:rsid w:val="005B22B3"/>
    <w:rsid w:val="005B525A"/>
    <w:rsid w:val="005D3F76"/>
    <w:rsid w:val="005E1670"/>
    <w:rsid w:val="006170F6"/>
    <w:rsid w:val="00624F9D"/>
    <w:rsid w:val="00637FDB"/>
    <w:rsid w:val="00653994"/>
    <w:rsid w:val="006620D6"/>
    <w:rsid w:val="006625F0"/>
    <w:rsid w:val="00666125"/>
    <w:rsid w:val="00671AB4"/>
    <w:rsid w:val="006929BE"/>
    <w:rsid w:val="00696C64"/>
    <w:rsid w:val="006B2258"/>
    <w:rsid w:val="006B6C50"/>
    <w:rsid w:val="006C1C1A"/>
    <w:rsid w:val="006C634C"/>
    <w:rsid w:val="006D5C8B"/>
    <w:rsid w:val="006D6131"/>
    <w:rsid w:val="006E721F"/>
    <w:rsid w:val="0070024A"/>
    <w:rsid w:val="00710091"/>
    <w:rsid w:val="00735F1D"/>
    <w:rsid w:val="00740BF6"/>
    <w:rsid w:val="007915E2"/>
    <w:rsid w:val="00797B91"/>
    <w:rsid w:val="007A36E5"/>
    <w:rsid w:val="007B326F"/>
    <w:rsid w:val="007C0D4E"/>
    <w:rsid w:val="007F2E7C"/>
    <w:rsid w:val="008338E1"/>
    <w:rsid w:val="00834AD9"/>
    <w:rsid w:val="00850FC6"/>
    <w:rsid w:val="008611DA"/>
    <w:rsid w:val="00866356"/>
    <w:rsid w:val="008A159F"/>
    <w:rsid w:val="008B5989"/>
    <w:rsid w:val="008C464D"/>
    <w:rsid w:val="008D4C05"/>
    <w:rsid w:val="008D534F"/>
    <w:rsid w:val="008D71DB"/>
    <w:rsid w:val="008D75CF"/>
    <w:rsid w:val="008E522F"/>
    <w:rsid w:val="0090661D"/>
    <w:rsid w:val="00911825"/>
    <w:rsid w:val="009133C6"/>
    <w:rsid w:val="009137A4"/>
    <w:rsid w:val="00914879"/>
    <w:rsid w:val="009154A8"/>
    <w:rsid w:val="00915E5A"/>
    <w:rsid w:val="00916D5B"/>
    <w:rsid w:val="00916DDC"/>
    <w:rsid w:val="009175AE"/>
    <w:rsid w:val="00931482"/>
    <w:rsid w:val="0093374D"/>
    <w:rsid w:val="009476AE"/>
    <w:rsid w:val="009502CF"/>
    <w:rsid w:val="00953EB2"/>
    <w:rsid w:val="00955F3F"/>
    <w:rsid w:val="00967751"/>
    <w:rsid w:val="00992048"/>
    <w:rsid w:val="009C1509"/>
    <w:rsid w:val="009C728A"/>
    <w:rsid w:val="009F543B"/>
    <w:rsid w:val="009F58CF"/>
    <w:rsid w:val="00A06F71"/>
    <w:rsid w:val="00A223D8"/>
    <w:rsid w:val="00A23605"/>
    <w:rsid w:val="00A434E5"/>
    <w:rsid w:val="00A45D4A"/>
    <w:rsid w:val="00A46397"/>
    <w:rsid w:val="00A50366"/>
    <w:rsid w:val="00A64284"/>
    <w:rsid w:val="00A92900"/>
    <w:rsid w:val="00A9619F"/>
    <w:rsid w:val="00A9630A"/>
    <w:rsid w:val="00AA02EB"/>
    <w:rsid w:val="00AB3FFA"/>
    <w:rsid w:val="00AB51C2"/>
    <w:rsid w:val="00AC3E1B"/>
    <w:rsid w:val="00AC7432"/>
    <w:rsid w:val="00AD4F9D"/>
    <w:rsid w:val="00AE543C"/>
    <w:rsid w:val="00B00BE0"/>
    <w:rsid w:val="00B03045"/>
    <w:rsid w:val="00B11597"/>
    <w:rsid w:val="00B14CA9"/>
    <w:rsid w:val="00B2283D"/>
    <w:rsid w:val="00B30551"/>
    <w:rsid w:val="00B37621"/>
    <w:rsid w:val="00B40216"/>
    <w:rsid w:val="00B45F09"/>
    <w:rsid w:val="00B57F0B"/>
    <w:rsid w:val="00B74F0D"/>
    <w:rsid w:val="00B763C3"/>
    <w:rsid w:val="00B81F72"/>
    <w:rsid w:val="00B84110"/>
    <w:rsid w:val="00B9090E"/>
    <w:rsid w:val="00BC60F1"/>
    <w:rsid w:val="00BD33F4"/>
    <w:rsid w:val="00BD7088"/>
    <w:rsid w:val="00BE484A"/>
    <w:rsid w:val="00BF0041"/>
    <w:rsid w:val="00C01588"/>
    <w:rsid w:val="00C023A9"/>
    <w:rsid w:val="00C04896"/>
    <w:rsid w:val="00C07F8E"/>
    <w:rsid w:val="00C216B3"/>
    <w:rsid w:val="00C262FA"/>
    <w:rsid w:val="00C27016"/>
    <w:rsid w:val="00C40B8B"/>
    <w:rsid w:val="00C41F8C"/>
    <w:rsid w:val="00C468B5"/>
    <w:rsid w:val="00C477DB"/>
    <w:rsid w:val="00C53191"/>
    <w:rsid w:val="00C652E6"/>
    <w:rsid w:val="00C6603B"/>
    <w:rsid w:val="00C7642A"/>
    <w:rsid w:val="00C86E21"/>
    <w:rsid w:val="00C874BF"/>
    <w:rsid w:val="00CB32D0"/>
    <w:rsid w:val="00CB4F93"/>
    <w:rsid w:val="00CC018B"/>
    <w:rsid w:val="00D13DA3"/>
    <w:rsid w:val="00D27B25"/>
    <w:rsid w:val="00D35BA1"/>
    <w:rsid w:val="00D51531"/>
    <w:rsid w:val="00D6603F"/>
    <w:rsid w:val="00D76479"/>
    <w:rsid w:val="00D77AB0"/>
    <w:rsid w:val="00D80AE9"/>
    <w:rsid w:val="00D843CA"/>
    <w:rsid w:val="00D8458D"/>
    <w:rsid w:val="00DA0BF8"/>
    <w:rsid w:val="00DA1200"/>
    <w:rsid w:val="00DA28BF"/>
    <w:rsid w:val="00DC16FA"/>
    <w:rsid w:val="00DC3B52"/>
    <w:rsid w:val="00DC769E"/>
    <w:rsid w:val="00DD5557"/>
    <w:rsid w:val="00DD5CE7"/>
    <w:rsid w:val="00DE0A8A"/>
    <w:rsid w:val="00DE69E9"/>
    <w:rsid w:val="00DF7EFF"/>
    <w:rsid w:val="00E05ED6"/>
    <w:rsid w:val="00E213BD"/>
    <w:rsid w:val="00E82B84"/>
    <w:rsid w:val="00E8443E"/>
    <w:rsid w:val="00E97F20"/>
    <w:rsid w:val="00EA2A09"/>
    <w:rsid w:val="00EA307E"/>
    <w:rsid w:val="00EC0BA8"/>
    <w:rsid w:val="00EC569C"/>
    <w:rsid w:val="00EE02E0"/>
    <w:rsid w:val="00EE0C5A"/>
    <w:rsid w:val="00EE614D"/>
    <w:rsid w:val="00EF637F"/>
    <w:rsid w:val="00F2213E"/>
    <w:rsid w:val="00F33EB8"/>
    <w:rsid w:val="00F47A78"/>
    <w:rsid w:val="00F51E91"/>
    <w:rsid w:val="00F54E24"/>
    <w:rsid w:val="00F668F7"/>
    <w:rsid w:val="00F71B4C"/>
    <w:rsid w:val="00F81403"/>
    <w:rsid w:val="00F86D1D"/>
    <w:rsid w:val="00FA2874"/>
    <w:rsid w:val="00FA7816"/>
    <w:rsid w:val="00FB6A50"/>
    <w:rsid w:val="00FC077B"/>
    <w:rsid w:val="00FE1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50371"/>
  <w15:chartTrackingRefBased/>
  <w15:docId w15:val="{EA97C0EC-2245-514C-885A-DD6C001E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6E721F"/>
    <w:pPr>
      <w:tabs>
        <w:tab w:val="center" w:pos="4536"/>
        <w:tab w:val="right" w:pos="9072"/>
      </w:tabs>
    </w:pPr>
  </w:style>
  <w:style w:type="character" w:styleId="Numrodepage">
    <w:name w:val="page number"/>
    <w:basedOn w:val="Policepardfaut"/>
    <w:rsid w:val="006E721F"/>
  </w:style>
  <w:style w:type="paragraph" w:styleId="Paragraphedeliste">
    <w:name w:val="List Paragraph"/>
    <w:basedOn w:val="Normal"/>
    <w:uiPriority w:val="34"/>
    <w:qFormat/>
    <w:rsid w:val="00BF0041"/>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D80AE9"/>
    <w:pPr>
      <w:spacing w:before="100" w:beforeAutospacing="1" w:after="142" w:line="288" w:lineRule="auto"/>
    </w:pPr>
  </w:style>
  <w:style w:type="table" w:styleId="Grilledutableau">
    <w:name w:val="Table Grid"/>
    <w:basedOn w:val="TableauNormal"/>
    <w:rsid w:val="0052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DC16FA"/>
    <w:rPr>
      <w:sz w:val="16"/>
      <w:szCs w:val="16"/>
    </w:rPr>
  </w:style>
  <w:style w:type="paragraph" w:styleId="Commentaire">
    <w:name w:val="annotation text"/>
    <w:basedOn w:val="Normal"/>
    <w:link w:val="CommentaireCar"/>
    <w:rsid w:val="00DC16FA"/>
    <w:rPr>
      <w:sz w:val="20"/>
      <w:szCs w:val="20"/>
    </w:rPr>
  </w:style>
  <w:style w:type="character" w:customStyle="1" w:styleId="CommentaireCar">
    <w:name w:val="Commentaire Car"/>
    <w:basedOn w:val="Policepardfaut"/>
    <w:link w:val="Commentaire"/>
    <w:rsid w:val="00DC16FA"/>
  </w:style>
  <w:style w:type="paragraph" w:styleId="Objetducommentaire">
    <w:name w:val="annotation subject"/>
    <w:basedOn w:val="Commentaire"/>
    <w:next w:val="Commentaire"/>
    <w:link w:val="ObjetducommentaireCar"/>
    <w:rsid w:val="00DC16FA"/>
    <w:rPr>
      <w:b/>
      <w:bCs/>
    </w:rPr>
  </w:style>
  <w:style w:type="character" w:customStyle="1" w:styleId="ObjetducommentaireCar">
    <w:name w:val="Objet du commentaire Car"/>
    <w:link w:val="Objetducommentaire"/>
    <w:rsid w:val="00DC16FA"/>
    <w:rPr>
      <w:b/>
      <w:bCs/>
    </w:rPr>
  </w:style>
  <w:style w:type="paragraph" w:styleId="Textedebulles">
    <w:name w:val="Balloon Text"/>
    <w:basedOn w:val="Normal"/>
    <w:link w:val="TextedebullesCar"/>
    <w:rsid w:val="00DC16FA"/>
    <w:rPr>
      <w:rFonts w:ascii="Segoe UI" w:hAnsi="Segoe UI" w:cs="Segoe UI"/>
      <w:sz w:val="18"/>
      <w:szCs w:val="18"/>
    </w:rPr>
  </w:style>
  <w:style w:type="character" w:customStyle="1" w:styleId="TextedebullesCar">
    <w:name w:val="Texte de bulles Car"/>
    <w:link w:val="Textedebulles"/>
    <w:rsid w:val="00DC16FA"/>
    <w:rPr>
      <w:rFonts w:ascii="Segoe UI" w:hAnsi="Segoe UI" w:cs="Segoe UI"/>
      <w:sz w:val="18"/>
      <w:szCs w:val="18"/>
    </w:rPr>
  </w:style>
  <w:style w:type="character" w:styleId="Lienhypertexte">
    <w:name w:val="Hyperlink"/>
    <w:basedOn w:val="Policepardfaut"/>
    <w:uiPriority w:val="99"/>
    <w:unhideWhenUsed/>
    <w:rsid w:val="00307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1814">
      <w:bodyDiv w:val="1"/>
      <w:marLeft w:val="0"/>
      <w:marRight w:val="0"/>
      <w:marTop w:val="0"/>
      <w:marBottom w:val="0"/>
      <w:divBdr>
        <w:top w:val="none" w:sz="0" w:space="0" w:color="auto"/>
        <w:left w:val="none" w:sz="0" w:space="0" w:color="auto"/>
        <w:bottom w:val="none" w:sz="0" w:space="0" w:color="auto"/>
        <w:right w:val="none" w:sz="0" w:space="0" w:color="auto"/>
      </w:divBdr>
    </w:div>
    <w:div w:id="433981824">
      <w:bodyDiv w:val="1"/>
      <w:marLeft w:val="0"/>
      <w:marRight w:val="0"/>
      <w:marTop w:val="0"/>
      <w:marBottom w:val="0"/>
      <w:divBdr>
        <w:top w:val="none" w:sz="0" w:space="0" w:color="auto"/>
        <w:left w:val="none" w:sz="0" w:space="0" w:color="auto"/>
        <w:bottom w:val="none" w:sz="0" w:space="0" w:color="auto"/>
        <w:right w:val="none" w:sz="0" w:space="0" w:color="auto"/>
      </w:divBdr>
    </w:div>
    <w:div w:id="579558438">
      <w:bodyDiv w:val="1"/>
      <w:marLeft w:val="0"/>
      <w:marRight w:val="0"/>
      <w:marTop w:val="0"/>
      <w:marBottom w:val="0"/>
      <w:divBdr>
        <w:top w:val="none" w:sz="0" w:space="0" w:color="auto"/>
        <w:left w:val="none" w:sz="0" w:space="0" w:color="auto"/>
        <w:bottom w:val="none" w:sz="0" w:space="0" w:color="auto"/>
        <w:right w:val="none" w:sz="0" w:space="0" w:color="auto"/>
      </w:divBdr>
    </w:div>
    <w:div w:id="603608196">
      <w:bodyDiv w:val="1"/>
      <w:marLeft w:val="0"/>
      <w:marRight w:val="0"/>
      <w:marTop w:val="0"/>
      <w:marBottom w:val="0"/>
      <w:divBdr>
        <w:top w:val="none" w:sz="0" w:space="0" w:color="auto"/>
        <w:left w:val="none" w:sz="0" w:space="0" w:color="auto"/>
        <w:bottom w:val="none" w:sz="0" w:space="0" w:color="auto"/>
        <w:right w:val="none" w:sz="0" w:space="0" w:color="auto"/>
      </w:divBdr>
      <w:divsChild>
        <w:div w:id="234781464">
          <w:marLeft w:val="0"/>
          <w:marRight w:val="0"/>
          <w:marTop w:val="0"/>
          <w:marBottom w:val="0"/>
          <w:divBdr>
            <w:top w:val="none" w:sz="0" w:space="0" w:color="auto"/>
            <w:left w:val="none" w:sz="0" w:space="0" w:color="auto"/>
            <w:bottom w:val="none" w:sz="0" w:space="0" w:color="auto"/>
            <w:right w:val="none" w:sz="0" w:space="0" w:color="auto"/>
          </w:divBdr>
        </w:div>
        <w:div w:id="311063650">
          <w:marLeft w:val="0"/>
          <w:marRight w:val="0"/>
          <w:marTop w:val="0"/>
          <w:marBottom w:val="0"/>
          <w:divBdr>
            <w:top w:val="none" w:sz="0" w:space="0" w:color="auto"/>
            <w:left w:val="none" w:sz="0" w:space="0" w:color="auto"/>
            <w:bottom w:val="none" w:sz="0" w:space="0" w:color="auto"/>
            <w:right w:val="none" w:sz="0" w:space="0" w:color="auto"/>
          </w:divBdr>
        </w:div>
        <w:div w:id="615142734">
          <w:marLeft w:val="0"/>
          <w:marRight w:val="0"/>
          <w:marTop w:val="0"/>
          <w:marBottom w:val="0"/>
          <w:divBdr>
            <w:top w:val="none" w:sz="0" w:space="0" w:color="auto"/>
            <w:left w:val="none" w:sz="0" w:space="0" w:color="auto"/>
            <w:bottom w:val="none" w:sz="0" w:space="0" w:color="auto"/>
            <w:right w:val="none" w:sz="0" w:space="0" w:color="auto"/>
          </w:divBdr>
        </w:div>
        <w:div w:id="2093508423">
          <w:marLeft w:val="0"/>
          <w:marRight w:val="0"/>
          <w:marTop w:val="0"/>
          <w:marBottom w:val="0"/>
          <w:divBdr>
            <w:top w:val="none" w:sz="0" w:space="0" w:color="auto"/>
            <w:left w:val="none" w:sz="0" w:space="0" w:color="auto"/>
            <w:bottom w:val="none" w:sz="0" w:space="0" w:color="auto"/>
            <w:right w:val="none" w:sz="0" w:space="0" w:color="auto"/>
          </w:divBdr>
        </w:div>
      </w:divsChild>
    </w:div>
    <w:div w:id="693003005">
      <w:bodyDiv w:val="1"/>
      <w:marLeft w:val="0"/>
      <w:marRight w:val="0"/>
      <w:marTop w:val="0"/>
      <w:marBottom w:val="0"/>
      <w:divBdr>
        <w:top w:val="none" w:sz="0" w:space="0" w:color="auto"/>
        <w:left w:val="none" w:sz="0" w:space="0" w:color="auto"/>
        <w:bottom w:val="none" w:sz="0" w:space="0" w:color="auto"/>
        <w:right w:val="none" w:sz="0" w:space="0" w:color="auto"/>
      </w:divBdr>
    </w:div>
    <w:div w:id="1112360864">
      <w:bodyDiv w:val="1"/>
      <w:marLeft w:val="0"/>
      <w:marRight w:val="0"/>
      <w:marTop w:val="0"/>
      <w:marBottom w:val="0"/>
      <w:divBdr>
        <w:top w:val="none" w:sz="0" w:space="0" w:color="auto"/>
        <w:left w:val="none" w:sz="0" w:space="0" w:color="auto"/>
        <w:bottom w:val="none" w:sz="0" w:space="0" w:color="auto"/>
        <w:right w:val="none" w:sz="0" w:space="0" w:color="auto"/>
      </w:divBdr>
      <w:divsChild>
        <w:div w:id="533882149">
          <w:marLeft w:val="0"/>
          <w:marRight w:val="0"/>
          <w:marTop w:val="0"/>
          <w:marBottom w:val="0"/>
          <w:divBdr>
            <w:top w:val="none" w:sz="0" w:space="0" w:color="auto"/>
            <w:left w:val="none" w:sz="0" w:space="0" w:color="auto"/>
            <w:bottom w:val="none" w:sz="0" w:space="0" w:color="auto"/>
            <w:right w:val="none" w:sz="0" w:space="0" w:color="auto"/>
          </w:divBdr>
        </w:div>
        <w:div w:id="831719388">
          <w:marLeft w:val="0"/>
          <w:marRight w:val="0"/>
          <w:marTop w:val="0"/>
          <w:marBottom w:val="0"/>
          <w:divBdr>
            <w:top w:val="none" w:sz="0" w:space="0" w:color="auto"/>
            <w:left w:val="none" w:sz="0" w:space="0" w:color="auto"/>
            <w:bottom w:val="none" w:sz="0" w:space="0" w:color="auto"/>
            <w:right w:val="none" w:sz="0" w:space="0" w:color="auto"/>
          </w:divBdr>
        </w:div>
        <w:div w:id="910231475">
          <w:marLeft w:val="0"/>
          <w:marRight w:val="0"/>
          <w:marTop w:val="0"/>
          <w:marBottom w:val="0"/>
          <w:divBdr>
            <w:top w:val="none" w:sz="0" w:space="0" w:color="auto"/>
            <w:left w:val="none" w:sz="0" w:space="0" w:color="auto"/>
            <w:bottom w:val="none" w:sz="0" w:space="0" w:color="auto"/>
            <w:right w:val="none" w:sz="0" w:space="0" w:color="auto"/>
          </w:divBdr>
        </w:div>
        <w:div w:id="917978614">
          <w:marLeft w:val="0"/>
          <w:marRight w:val="0"/>
          <w:marTop w:val="0"/>
          <w:marBottom w:val="0"/>
          <w:divBdr>
            <w:top w:val="none" w:sz="0" w:space="0" w:color="auto"/>
            <w:left w:val="none" w:sz="0" w:space="0" w:color="auto"/>
            <w:bottom w:val="none" w:sz="0" w:space="0" w:color="auto"/>
            <w:right w:val="none" w:sz="0" w:space="0" w:color="auto"/>
          </w:divBdr>
        </w:div>
        <w:div w:id="1822387843">
          <w:marLeft w:val="0"/>
          <w:marRight w:val="0"/>
          <w:marTop w:val="0"/>
          <w:marBottom w:val="0"/>
          <w:divBdr>
            <w:top w:val="none" w:sz="0" w:space="0" w:color="auto"/>
            <w:left w:val="none" w:sz="0" w:space="0" w:color="auto"/>
            <w:bottom w:val="none" w:sz="0" w:space="0" w:color="auto"/>
            <w:right w:val="none" w:sz="0" w:space="0" w:color="auto"/>
          </w:divBdr>
        </w:div>
        <w:div w:id="1909462709">
          <w:marLeft w:val="0"/>
          <w:marRight w:val="0"/>
          <w:marTop w:val="0"/>
          <w:marBottom w:val="0"/>
          <w:divBdr>
            <w:top w:val="none" w:sz="0" w:space="0" w:color="auto"/>
            <w:left w:val="none" w:sz="0" w:space="0" w:color="auto"/>
            <w:bottom w:val="none" w:sz="0" w:space="0" w:color="auto"/>
            <w:right w:val="none" w:sz="0" w:space="0" w:color="auto"/>
          </w:divBdr>
        </w:div>
      </w:divsChild>
    </w:div>
    <w:div w:id="1172449865">
      <w:bodyDiv w:val="1"/>
      <w:marLeft w:val="0"/>
      <w:marRight w:val="0"/>
      <w:marTop w:val="0"/>
      <w:marBottom w:val="0"/>
      <w:divBdr>
        <w:top w:val="none" w:sz="0" w:space="0" w:color="auto"/>
        <w:left w:val="none" w:sz="0" w:space="0" w:color="auto"/>
        <w:bottom w:val="none" w:sz="0" w:space="0" w:color="auto"/>
        <w:right w:val="none" w:sz="0" w:space="0" w:color="auto"/>
      </w:divBdr>
    </w:div>
    <w:div w:id="1484810790">
      <w:bodyDiv w:val="1"/>
      <w:marLeft w:val="0"/>
      <w:marRight w:val="0"/>
      <w:marTop w:val="0"/>
      <w:marBottom w:val="0"/>
      <w:divBdr>
        <w:top w:val="none" w:sz="0" w:space="0" w:color="auto"/>
        <w:left w:val="none" w:sz="0" w:space="0" w:color="auto"/>
        <w:bottom w:val="none" w:sz="0" w:space="0" w:color="auto"/>
        <w:right w:val="none" w:sz="0" w:space="0" w:color="auto"/>
      </w:divBdr>
    </w:div>
    <w:div w:id="1574193865">
      <w:bodyDiv w:val="1"/>
      <w:marLeft w:val="0"/>
      <w:marRight w:val="0"/>
      <w:marTop w:val="0"/>
      <w:marBottom w:val="0"/>
      <w:divBdr>
        <w:top w:val="none" w:sz="0" w:space="0" w:color="auto"/>
        <w:left w:val="none" w:sz="0" w:space="0" w:color="auto"/>
        <w:bottom w:val="none" w:sz="0" w:space="0" w:color="auto"/>
        <w:right w:val="none" w:sz="0" w:space="0" w:color="auto"/>
      </w:divBdr>
    </w:div>
    <w:div w:id="1690984477">
      <w:bodyDiv w:val="1"/>
      <w:marLeft w:val="0"/>
      <w:marRight w:val="0"/>
      <w:marTop w:val="0"/>
      <w:marBottom w:val="0"/>
      <w:divBdr>
        <w:top w:val="none" w:sz="0" w:space="0" w:color="auto"/>
        <w:left w:val="none" w:sz="0" w:space="0" w:color="auto"/>
        <w:bottom w:val="none" w:sz="0" w:space="0" w:color="auto"/>
        <w:right w:val="none" w:sz="0" w:space="0" w:color="auto"/>
      </w:divBdr>
    </w:div>
    <w:div w:id="20002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ndass.fr"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1638</Words>
  <Characters>9313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lpstr>
    </vt:vector>
  </TitlesOfParts>
  <Company>cg93.fr</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roclement</dc:creator>
  <cp:keywords/>
  <cp:lastModifiedBy>Roland Giraud</cp:lastModifiedBy>
  <cp:revision>16</cp:revision>
  <cp:lastPrinted>2017-10-25T18:29:00Z</cp:lastPrinted>
  <dcterms:created xsi:type="dcterms:W3CDTF">2022-02-14T13:09:00Z</dcterms:created>
  <dcterms:modified xsi:type="dcterms:W3CDTF">2022-02-14T13:29:00Z</dcterms:modified>
</cp:coreProperties>
</file>