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45B7" w14:textId="2148B6C5" w:rsidR="002B6FE8" w:rsidRDefault="008709AC" w:rsidP="00F847ED">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7D986666" wp14:editId="658DC5DB">
            <wp:simplePos x="0" y="0"/>
            <wp:positionH relativeFrom="column">
              <wp:posOffset>-635</wp:posOffset>
            </wp:positionH>
            <wp:positionV relativeFrom="paragraph">
              <wp:posOffset>272415</wp:posOffset>
            </wp:positionV>
            <wp:extent cx="1270000" cy="4318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1270000" cy="431800"/>
                    </a:xfrm>
                    <a:prstGeom prst="rect">
                      <a:avLst/>
                    </a:prstGeom>
                  </pic:spPr>
                </pic:pic>
              </a:graphicData>
            </a:graphic>
          </wp:anchor>
        </w:drawing>
      </w:r>
    </w:p>
    <w:p w14:paraId="6B2ABBA2" w14:textId="77777777" w:rsidR="002B6FE8" w:rsidRDefault="002B6FE8" w:rsidP="00F847ED">
      <w:pPr>
        <w:jc w:val="center"/>
        <w:rPr>
          <w:rFonts w:ascii="Times New Roman" w:hAnsi="Times New Roman" w:cs="Times New Roman"/>
          <w:b/>
        </w:rPr>
      </w:pPr>
    </w:p>
    <w:p w14:paraId="460FF115" w14:textId="43B75453" w:rsidR="00F847ED" w:rsidRPr="00F847ED" w:rsidRDefault="00510FC6" w:rsidP="00F847ED">
      <w:pPr>
        <w:jc w:val="center"/>
        <w:rPr>
          <w:rFonts w:ascii="Times New Roman" w:hAnsi="Times New Roman" w:cs="Times New Roman"/>
          <w:b/>
        </w:rPr>
      </w:pPr>
      <w:r>
        <w:rPr>
          <w:rFonts w:ascii="Times New Roman" w:hAnsi="Times New Roman" w:cs="Times New Roman"/>
          <w:b/>
        </w:rPr>
        <w:t>CO</w:t>
      </w:r>
      <w:r w:rsidR="002556F8">
        <w:rPr>
          <w:rFonts w:ascii="Times New Roman" w:hAnsi="Times New Roman" w:cs="Times New Roman"/>
          <w:b/>
        </w:rPr>
        <w:t>NTRIBUTION ANDASS 2022 SUR L’ATTRACTIVITE, LES METIERS,</w:t>
      </w:r>
      <w:r w:rsidR="0012247F">
        <w:rPr>
          <w:rFonts w:ascii="Times New Roman" w:hAnsi="Times New Roman" w:cs="Times New Roman"/>
          <w:b/>
        </w:rPr>
        <w:t xml:space="preserve"> ET</w:t>
      </w:r>
      <w:r w:rsidR="002556F8">
        <w:rPr>
          <w:rFonts w:ascii="Times New Roman" w:hAnsi="Times New Roman" w:cs="Times New Roman"/>
          <w:b/>
        </w:rPr>
        <w:t xml:space="preserve"> LES FORMATIONS</w:t>
      </w:r>
      <w:r>
        <w:rPr>
          <w:rFonts w:ascii="Times New Roman" w:hAnsi="Times New Roman" w:cs="Times New Roman"/>
          <w:b/>
        </w:rPr>
        <w:t xml:space="preserve"> DU TRAVAIL SOCIAL</w:t>
      </w:r>
    </w:p>
    <w:p w14:paraId="6CA081AD" w14:textId="1F982B45" w:rsidR="00F847ED" w:rsidRDefault="00F847ED" w:rsidP="00F847ED">
      <w:pPr>
        <w:rPr>
          <w:rFonts w:ascii="Times New Roman" w:hAnsi="Times New Roman" w:cs="Times New Roman"/>
        </w:rPr>
      </w:pPr>
    </w:p>
    <w:p w14:paraId="52C28B9F" w14:textId="0C73318D" w:rsidR="00E8712D" w:rsidRDefault="00E8712D" w:rsidP="00F847ED">
      <w:pPr>
        <w:rPr>
          <w:rFonts w:ascii="Times New Roman" w:hAnsi="Times New Roman" w:cs="Times New Roman"/>
          <w:color w:val="0070C0"/>
        </w:rPr>
      </w:pPr>
    </w:p>
    <w:p w14:paraId="067E1FAF" w14:textId="77777777" w:rsidR="002E277B" w:rsidRPr="002E277B" w:rsidRDefault="002E277B" w:rsidP="0048354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83544">
        <w:rPr>
          <w:rFonts w:ascii="Times New Roman" w:hAnsi="Times New Roman" w:cs="Times New Roman"/>
          <w:u w:val="single"/>
        </w:rPr>
        <w:t>Résumé :</w:t>
      </w:r>
      <w:r w:rsidRPr="002E277B">
        <w:rPr>
          <w:rFonts w:ascii="Times New Roman" w:hAnsi="Times New Roman" w:cs="Times New Roman"/>
        </w:rPr>
        <w:t xml:space="preserve"> En prévision de la conférence des métiers du social et du médico-social annoncé par le gouvernement pour le début d’année 2022, cette contribution repart des constats dressés par les professionnels comme par les employeurs la perte d’attractivité du travail social dans un contexte marqué par une évolution de la précarité et par une perte de sens pour beaucoup d’acteurs. </w:t>
      </w:r>
    </w:p>
    <w:p w14:paraId="3A409915" w14:textId="48236D26" w:rsidR="00E8712D" w:rsidRPr="002E277B" w:rsidRDefault="002E277B" w:rsidP="0048354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E277B">
        <w:rPr>
          <w:rFonts w:ascii="Times New Roman" w:hAnsi="Times New Roman" w:cs="Times New Roman"/>
        </w:rPr>
        <w:t xml:space="preserve">Faisant référence à des travaux déjà menés par l’ANDASS notamment dans le cadre des Etats généraux du travail social en 2015, les </w:t>
      </w:r>
      <w:r>
        <w:rPr>
          <w:rFonts w:ascii="Times New Roman" w:hAnsi="Times New Roman" w:cs="Times New Roman"/>
        </w:rPr>
        <w:t xml:space="preserve">propositions soumises au débat portent sur une réinvention des modèles et pratiques d’intervention, en lien avec la ré interrogation des formations et la place accordée aux publics accompagnés dans leur accompagnement. </w:t>
      </w:r>
    </w:p>
    <w:p w14:paraId="7B94E280" w14:textId="77777777" w:rsidR="00A74808" w:rsidRDefault="00A74808" w:rsidP="00F847ED">
      <w:pPr>
        <w:jc w:val="both"/>
        <w:rPr>
          <w:rFonts w:ascii="Times New Roman" w:hAnsi="Times New Roman" w:cs="Times New Roman"/>
        </w:rPr>
      </w:pPr>
    </w:p>
    <w:p w14:paraId="49D41C85" w14:textId="77777777" w:rsidR="00A74808" w:rsidRDefault="00A74808" w:rsidP="00F847ED">
      <w:pPr>
        <w:jc w:val="both"/>
        <w:rPr>
          <w:rFonts w:ascii="Times New Roman" w:hAnsi="Times New Roman" w:cs="Times New Roman"/>
        </w:rPr>
      </w:pPr>
    </w:p>
    <w:p w14:paraId="649BBBE3" w14:textId="6957090F" w:rsidR="00F847ED" w:rsidRPr="00D43AA3" w:rsidRDefault="00F847ED" w:rsidP="00F847ED">
      <w:pPr>
        <w:jc w:val="both"/>
        <w:rPr>
          <w:rFonts w:ascii="Times New Roman" w:hAnsi="Times New Roman" w:cs="Times New Roman"/>
        </w:rPr>
      </w:pPr>
      <w:r w:rsidRPr="00D43AA3">
        <w:rPr>
          <w:rFonts w:ascii="Times New Roman" w:hAnsi="Times New Roman" w:cs="Times New Roman"/>
        </w:rPr>
        <w:t>Les « oubliés du Ségur », les « laissés pour compte de la seconde ligne »…</w:t>
      </w:r>
      <w:r w:rsidR="0079361A" w:rsidRPr="00D43AA3">
        <w:rPr>
          <w:rFonts w:ascii="Times New Roman" w:hAnsi="Times New Roman" w:cs="Times New Roman"/>
        </w:rPr>
        <w:t xml:space="preserve"> les qualificatifs</w:t>
      </w:r>
      <w:r w:rsidRPr="00D43AA3">
        <w:rPr>
          <w:rFonts w:ascii="Times New Roman" w:hAnsi="Times New Roman" w:cs="Times New Roman"/>
        </w:rPr>
        <w:t xml:space="preserve"> n’ont pas manqué pour décrire le sort des travailleurs sociaux relégués au second rôle du combat contre la pandémie. </w:t>
      </w:r>
    </w:p>
    <w:p w14:paraId="4583DEFD"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Un combat dont les fronts ouverts depuis bientôt 2 ans ne sont plus seulement sanitaires, mais se jouent aussi sur le plan de la cohésion sociale, et de la société toute entière.</w:t>
      </w:r>
    </w:p>
    <w:p w14:paraId="6F0E5C7C"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 « </w:t>
      </w:r>
      <w:r w:rsidRPr="00D43AA3">
        <w:rPr>
          <w:rFonts w:ascii="Times New Roman" w:hAnsi="Times New Roman" w:cs="Times New Roman"/>
          <w:i/>
        </w:rPr>
        <w:t>On n’est pas seulement malade, ou pauvre, ou en situation de handicap. Les besoins des personnes sont divers et hybrides, et appellent donc des mobilisations multiformes. Cette question de l’approche globale n’est certes pas nouvelle, mais elle est maintenant réactualisée. Car cette crise sanitaire a imposé une synergie des compétences</w:t>
      </w:r>
      <w:r w:rsidR="00175F94" w:rsidRPr="00D43AA3">
        <w:rPr>
          <w:rFonts w:ascii="Times New Roman" w:hAnsi="Times New Roman" w:cs="Times New Roman"/>
        </w:rPr>
        <w:t xml:space="preserve"> » explique </w:t>
      </w:r>
      <w:r w:rsidRPr="00D43AA3">
        <w:rPr>
          <w:rFonts w:ascii="Times New Roman" w:hAnsi="Times New Roman" w:cs="Times New Roman"/>
        </w:rPr>
        <w:t xml:space="preserve">Marcel JAEGER. </w:t>
      </w:r>
    </w:p>
    <w:p w14:paraId="14FEF351" w14:textId="2D089BEE" w:rsidR="00F847ED" w:rsidRPr="00D43AA3" w:rsidRDefault="00F847ED" w:rsidP="00F847ED">
      <w:pPr>
        <w:jc w:val="both"/>
        <w:rPr>
          <w:rFonts w:ascii="Times New Roman" w:hAnsi="Times New Roman" w:cs="Times New Roman"/>
        </w:rPr>
      </w:pPr>
      <w:r w:rsidRPr="00D43AA3">
        <w:rPr>
          <w:rFonts w:ascii="Times New Roman" w:hAnsi="Times New Roman" w:cs="Times New Roman"/>
        </w:rPr>
        <w:t>Les réponses ne peuvent donc être strictement sectorielle</w:t>
      </w:r>
      <w:r w:rsidR="008850DE" w:rsidRPr="00D43AA3">
        <w:rPr>
          <w:rFonts w:ascii="Times New Roman" w:hAnsi="Times New Roman" w:cs="Times New Roman"/>
        </w:rPr>
        <w:t>s</w:t>
      </w:r>
      <w:r w:rsidRPr="00D43AA3">
        <w:rPr>
          <w:rFonts w:ascii="Times New Roman" w:hAnsi="Times New Roman" w:cs="Times New Roman"/>
        </w:rPr>
        <w:t xml:space="preserve">, tant la crise a profondément rebattu les cartes, </w:t>
      </w:r>
      <w:r w:rsidR="008570AA" w:rsidRPr="006319F2">
        <w:rPr>
          <w:rFonts w:ascii="Times New Roman" w:hAnsi="Times New Roman" w:cs="Times New Roman"/>
        </w:rPr>
        <w:t>atténuant</w:t>
      </w:r>
      <w:r w:rsidR="008D422E" w:rsidRPr="006319F2">
        <w:rPr>
          <w:rFonts w:ascii="Times New Roman" w:hAnsi="Times New Roman" w:cs="Times New Roman"/>
        </w:rPr>
        <w:t xml:space="preserve"> </w:t>
      </w:r>
      <w:r w:rsidR="008D422E" w:rsidRPr="00D43AA3">
        <w:rPr>
          <w:rFonts w:ascii="Times New Roman" w:hAnsi="Times New Roman" w:cs="Times New Roman"/>
        </w:rPr>
        <w:t xml:space="preserve">les frontières </w:t>
      </w:r>
      <w:r w:rsidRPr="00D43AA3">
        <w:rPr>
          <w:rFonts w:ascii="Times New Roman" w:hAnsi="Times New Roman" w:cs="Times New Roman"/>
        </w:rPr>
        <w:t>entre le social, le sani</w:t>
      </w:r>
      <w:r w:rsidR="008850DE" w:rsidRPr="00D43AA3">
        <w:rPr>
          <w:rFonts w:ascii="Times New Roman" w:hAnsi="Times New Roman" w:cs="Times New Roman"/>
        </w:rPr>
        <w:t xml:space="preserve">taire, </w:t>
      </w:r>
      <w:r w:rsidR="00DB6296" w:rsidRPr="00D43AA3">
        <w:rPr>
          <w:rFonts w:ascii="Times New Roman" w:hAnsi="Times New Roman" w:cs="Times New Roman"/>
        </w:rPr>
        <w:t xml:space="preserve">et faisant basculer dans la précarité </w:t>
      </w:r>
      <w:r w:rsidRPr="00D43AA3">
        <w:rPr>
          <w:rFonts w:ascii="Times New Roman" w:hAnsi="Times New Roman" w:cs="Times New Roman"/>
        </w:rPr>
        <w:t>de nouveaux publics qui sollicitent désormais les services sociaux. Les autoentrepreneurs et travailleurs indépendants, les travailleurs précaires et les étudiants sont le plus souvent évoqués, comme le souligne le rapport du comité d’évaluation de la stratégie nationale de prévention et de lutte contre la pauvreté, présidé par Louis Schweitzer, publié en octobre 2020</w:t>
      </w:r>
      <w:r w:rsidR="00104BFC" w:rsidRPr="00D43AA3">
        <w:rPr>
          <w:rStyle w:val="Appelnotedebasdep"/>
          <w:rFonts w:ascii="Times New Roman" w:hAnsi="Times New Roman" w:cs="Times New Roman"/>
        </w:rPr>
        <w:footnoteReference w:id="1"/>
      </w:r>
      <w:r w:rsidRPr="00D43AA3">
        <w:rPr>
          <w:rFonts w:ascii="Times New Roman" w:hAnsi="Times New Roman" w:cs="Times New Roman"/>
        </w:rPr>
        <w:t xml:space="preserve">. </w:t>
      </w:r>
    </w:p>
    <w:p w14:paraId="13C91E0E"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Si le taux de pauvreté a peu évolué, loin des prophéties annonçant un million de nouveaux pauvres, comme le souligne l’étude de l’INSEE paru en novembre 2021</w:t>
      </w:r>
      <w:r w:rsidR="00DE2CDD" w:rsidRPr="00D43AA3">
        <w:rPr>
          <w:rStyle w:val="Appelnotedebasdep"/>
          <w:rFonts w:ascii="Times New Roman" w:hAnsi="Times New Roman" w:cs="Times New Roman"/>
        </w:rPr>
        <w:footnoteReference w:id="2"/>
      </w:r>
      <w:r w:rsidRPr="00D43AA3">
        <w:rPr>
          <w:rFonts w:ascii="Times New Roman" w:hAnsi="Times New Roman" w:cs="Times New Roman"/>
        </w:rPr>
        <w:t xml:space="preserve">, c’est à une intensification de la pauvreté que sont et seront confrontés les travailleurs sociaux. « </w:t>
      </w:r>
      <w:r w:rsidRPr="00D43AA3">
        <w:rPr>
          <w:rFonts w:ascii="Times New Roman" w:hAnsi="Times New Roman" w:cs="Times New Roman"/>
          <w:i/>
        </w:rPr>
        <w:t xml:space="preserve">Les personnes peu touchées par les mesures </w:t>
      </w:r>
      <w:r w:rsidRPr="00D43AA3">
        <w:rPr>
          <w:rFonts w:ascii="Times New Roman" w:hAnsi="Times New Roman" w:cs="Times New Roman"/>
          <w:i/>
        </w:rPr>
        <w:lastRenderedPageBreak/>
        <w:t>prises depuis le premier confinement du fait de leurs conditions d’attribution (demandeurs d’asile, étrangers résidant régulièrement depuis moins de cinq ans par exemple)</w:t>
      </w:r>
      <w:r w:rsidR="00CB1291" w:rsidRPr="00D43AA3">
        <w:rPr>
          <w:rFonts w:ascii="Times New Roman" w:hAnsi="Times New Roman" w:cs="Times New Roman"/>
          <w:i/>
        </w:rPr>
        <w:t>,</w:t>
      </w:r>
      <w:r w:rsidRPr="00D43AA3">
        <w:rPr>
          <w:rFonts w:ascii="Times New Roman" w:hAnsi="Times New Roman" w:cs="Times New Roman"/>
          <w:i/>
        </w:rPr>
        <w:t xml:space="preserve"> ont vu leur situation se dégrader</w:t>
      </w:r>
      <w:r w:rsidRPr="00D43AA3">
        <w:rPr>
          <w:rFonts w:ascii="Times New Roman" w:hAnsi="Times New Roman" w:cs="Times New Roman"/>
        </w:rPr>
        <w:t xml:space="preserve"> ». Pour le Conseil national des politiques de lutte contre la pauvreté et l'exclusion sociale (CNLE), c’est aussi le cas des publics « invisibles » (sortant de prison, prostituées, sorties « sèches » de l’ASE, toxicomanes, etc.).</w:t>
      </w:r>
    </w:p>
    <w:p w14:paraId="2592B855" w14:textId="198AB343" w:rsidR="00F847ED" w:rsidRPr="003F108B" w:rsidRDefault="00F847ED" w:rsidP="00F847ED">
      <w:pPr>
        <w:jc w:val="both"/>
        <w:rPr>
          <w:rFonts w:ascii="Times New Roman" w:hAnsi="Times New Roman" w:cs="Times New Roman"/>
        </w:rPr>
      </w:pPr>
      <w:r w:rsidRPr="00D43AA3">
        <w:rPr>
          <w:rFonts w:ascii="Times New Roman" w:hAnsi="Times New Roman" w:cs="Times New Roman"/>
        </w:rPr>
        <w:t>Ce n’est pas tant l’identité du travail social qui se trouve réinterrogée par l’émergence de ces nouveaux publics, que les pratiques professionnelles et le nécessaire décloisonnement des réponses qui ne sont pas l’apanage exclusif</w:t>
      </w:r>
      <w:r w:rsidR="00CB1291" w:rsidRPr="00D43AA3">
        <w:rPr>
          <w:rFonts w:ascii="Times New Roman" w:hAnsi="Times New Roman" w:cs="Times New Roman"/>
        </w:rPr>
        <w:t xml:space="preserve"> de tel ou tel corps de méti</w:t>
      </w:r>
      <w:r w:rsidR="008570AA">
        <w:rPr>
          <w:rFonts w:ascii="Times New Roman" w:hAnsi="Times New Roman" w:cs="Times New Roman"/>
        </w:rPr>
        <w:t xml:space="preserve">er, ou de tel ou tel dispositif, </w:t>
      </w:r>
      <w:r w:rsidR="008570AA" w:rsidRPr="003F108B">
        <w:rPr>
          <w:rFonts w:ascii="Times New Roman" w:hAnsi="Times New Roman" w:cs="Times New Roman"/>
        </w:rPr>
        <w:t>il concerne autant le secteur public que le secteur privé, et autant les dirigeants que les professionnels en charge de la mise en œuvre des politiques sociales.</w:t>
      </w:r>
    </w:p>
    <w:p w14:paraId="08B66608"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Dans ce contexte qui peut parfoi</w:t>
      </w:r>
      <w:r w:rsidR="000A7059" w:rsidRPr="00D43AA3">
        <w:rPr>
          <w:rFonts w:ascii="Times New Roman" w:hAnsi="Times New Roman" w:cs="Times New Roman"/>
        </w:rPr>
        <w:t>s bousculer les savoirs établis et les méthodes de travail,</w:t>
      </w:r>
      <w:r w:rsidRPr="00D43AA3">
        <w:rPr>
          <w:rFonts w:ascii="Times New Roman" w:hAnsi="Times New Roman" w:cs="Times New Roman"/>
        </w:rPr>
        <w:t xml:space="preserve"> les travailleurs sociaux sont confrontés à des injonctions contradictoires : être agile t</w:t>
      </w:r>
      <w:r w:rsidR="001F32F1" w:rsidRPr="00D43AA3">
        <w:rPr>
          <w:rFonts w:ascii="Times New Roman" w:hAnsi="Times New Roman" w:cs="Times New Roman"/>
        </w:rPr>
        <w:t xml:space="preserve">out en respectant les cadres normatifs </w:t>
      </w:r>
      <w:r w:rsidR="00CB1291" w:rsidRPr="00D43AA3">
        <w:rPr>
          <w:rFonts w:ascii="Times New Roman" w:hAnsi="Times New Roman" w:cs="Times New Roman"/>
        </w:rPr>
        <w:t xml:space="preserve">des dispositifs, « aller vers », </w:t>
      </w:r>
      <w:r w:rsidRPr="00D43AA3">
        <w:rPr>
          <w:rFonts w:ascii="Times New Roman" w:hAnsi="Times New Roman" w:cs="Times New Roman"/>
        </w:rPr>
        <w:t xml:space="preserve">tout en se conformant à des référentiels comportant une série de procédures à suivre, tout aussi scrupuleusement qu’un manuel pour bricoleurs expérimentés. </w:t>
      </w:r>
    </w:p>
    <w:p w14:paraId="5874E984"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Ces exigences imposées aux professionnels ne se </w:t>
      </w:r>
      <w:r w:rsidR="00B87319" w:rsidRPr="00D43AA3">
        <w:rPr>
          <w:rFonts w:ascii="Times New Roman" w:hAnsi="Times New Roman" w:cs="Times New Roman"/>
        </w:rPr>
        <w:t xml:space="preserve">traduisent </w:t>
      </w:r>
      <w:r w:rsidRPr="00D43AA3">
        <w:rPr>
          <w:rFonts w:ascii="Times New Roman" w:hAnsi="Times New Roman" w:cs="Times New Roman"/>
        </w:rPr>
        <w:t xml:space="preserve">d’ailleurs que très rarement dans les </w:t>
      </w:r>
      <w:r w:rsidR="00825745" w:rsidRPr="00D43AA3">
        <w:rPr>
          <w:rFonts w:ascii="Times New Roman" w:hAnsi="Times New Roman" w:cs="Times New Roman"/>
        </w:rPr>
        <w:t xml:space="preserve">organisations qui les emploient. Celles-ci </w:t>
      </w:r>
      <w:r w:rsidRPr="00D43AA3">
        <w:rPr>
          <w:rFonts w:ascii="Times New Roman" w:hAnsi="Times New Roman" w:cs="Times New Roman"/>
        </w:rPr>
        <w:t>restent caractérisées par l’empilement de dispositifs ou d’instances de coordination, sans compter la multiplicité des acteurs intervenants parfois sur un même champ.</w:t>
      </w:r>
    </w:p>
    <w:p w14:paraId="182F5807"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Un récent rapport du Conseil d’Etat consacré à l’accès aux prestations sociales et publié en novembre 2021</w:t>
      </w:r>
      <w:r w:rsidR="00163642" w:rsidRPr="00D43AA3">
        <w:rPr>
          <w:rStyle w:val="Appelnotedebasdep"/>
          <w:rFonts w:ascii="Times New Roman" w:hAnsi="Times New Roman" w:cs="Times New Roman"/>
        </w:rPr>
        <w:footnoteReference w:id="3"/>
      </w:r>
      <w:r w:rsidRPr="00D43AA3">
        <w:rPr>
          <w:rFonts w:ascii="Times New Roman" w:hAnsi="Times New Roman" w:cs="Times New Roman"/>
        </w:rPr>
        <w:t xml:space="preserve"> vient confirmer le foisonnement et la complexité des règles d'attribution de la trentaine d’al</w:t>
      </w:r>
      <w:r w:rsidR="00CB1291" w:rsidRPr="00D43AA3">
        <w:rPr>
          <w:rFonts w:ascii="Times New Roman" w:hAnsi="Times New Roman" w:cs="Times New Roman"/>
        </w:rPr>
        <w:t>locations nationales recensées, auxquelles s’ajoutent celles des collectivités locales.</w:t>
      </w:r>
    </w:p>
    <w:p w14:paraId="6B50CDAC"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Ce sont ainsi une douzaine de modes d’appréciation des ressources avec lesquels doivent jongler les professionnels du secteur social, aussi bien dans les collectivités qu’au sein des organismes de protection sociale.</w:t>
      </w:r>
    </w:p>
    <w:p w14:paraId="15EF241E" w14:textId="0BD0DA16" w:rsidR="00F847ED" w:rsidRPr="002556F8" w:rsidRDefault="00F847ED" w:rsidP="00F847ED">
      <w:pPr>
        <w:jc w:val="both"/>
        <w:rPr>
          <w:rFonts w:ascii="Times New Roman" w:hAnsi="Times New Roman" w:cs="Times New Roman"/>
          <w:color w:val="0070C0"/>
        </w:rPr>
      </w:pPr>
      <w:r w:rsidRPr="00D43AA3">
        <w:rPr>
          <w:rFonts w:ascii="Times New Roman" w:hAnsi="Times New Roman" w:cs="Times New Roman"/>
        </w:rPr>
        <w:t>La sobriété tel que le définit le Manifeste de l’ANDASS</w:t>
      </w:r>
      <w:r w:rsidR="002556F8">
        <w:rPr>
          <w:rStyle w:val="Appelnotedebasdep"/>
          <w:rFonts w:ascii="Times New Roman" w:hAnsi="Times New Roman" w:cs="Times New Roman"/>
        </w:rPr>
        <w:footnoteReference w:id="4"/>
      </w:r>
      <w:r w:rsidRPr="00D43AA3">
        <w:rPr>
          <w:rFonts w:ascii="Times New Roman" w:hAnsi="Times New Roman" w:cs="Times New Roman"/>
        </w:rPr>
        <w:t xml:space="preserve">, « Pour une action publique sobre et de qualité », ne s’est pas encore imposée comme le mode régissant notre système d’action sociale et médico-sociale. </w:t>
      </w:r>
      <w:r w:rsidR="003F108B">
        <w:rPr>
          <w:rFonts w:ascii="Times New Roman" w:hAnsi="Times New Roman" w:cs="Times New Roman"/>
        </w:rPr>
        <w:t xml:space="preserve">Comme si cette simplification a du mal à se concrétiser </w:t>
      </w:r>
      <w:commentRangeStart w:id="0"/>
      <w:r w:rsidR="003F108B">
        <w:rPr>
          <w:rFonts w:ascii="Times New Roman" w:hAnsi="Times New Roman" w:cs="Times New Roman"/>
        </w:rPr>
        <w:t>dans</w:t>
      </w:r>
      <w:commentRangeEnd w:id="0"/>
      <w:r w:rsidR="00CD76BA">
        <w:rPr>
          <w:rStyle w:val="Marquedecommentaire"/>
        </w:rPr>
        <w:commentReference w:id="0"/>
      </w:r>
      <w:r w:rsidR="003F108B">
        <w:rPr>
          <w:rFonts w:ascii="Times New Roman" w:hAnsi="Times New Roman" w:cs="Times New Roman"/>
        </w:rPr>
        <w:t xml:space="preserve"> le travail social.</w:t>
      </w:r>
    </w:p>
    <w:p w14:paraId="12494448"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Dans un tel maquis de dispositif</w:t>
      </w:r>
      <w:r w:rsidR="00CB1291" w:rsidRPr="00D43AA3">
        <w:rPr>
          <w:rFonts w:ascii="Times New Roman" w:hAnsi="Times New Roman" w:cs="Times New Roman"/>
        </w:rPr>
        <w:t>s</w:t>
      </w:r>
      <w:r w:rsidRPr="00D43AA3">
        <w:rPr>
          <w:rFonts w:ascii="Times New Roman" w:hAnsi="Times New Roman" w:cs="Times New Roman"/>
        </w:rPr>
        <w:t>, où l’usager se perd lui-même, tantôt objet du référent de parcours, tantôt sujet des facilitateurs et autre coordinateurs, les leviers de transformation sont moins d’ordre financier que de l’ordre du pilotage et de la simplification.</w:t>
      </w:r>
    </w:p>
    <w:p w14:paraId="1FCD262C"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Or ces leviers, plus difficile à actionner que le simple fait d’injecter de l’argent public venant de l’Etat, sont de la responsabilité des employeurs-eux-mêmes, qu’ils soient publics ou associatifs. </w:t>
      </w:r>
    </w:p>
    <w:p w14:paraId="1C3E1950" w14:textId="1CC419D2" w:rsidR="00F847ED" w:rsidRDefault="00F847ED" w:rsidP="00F847ED">
      <w:pPr>
        <w:jc w:val="both"/>
        <w:rPr>
          <w:rFonts w:ascii="Times New Roman" w:hAnsi="Times New Roman" w:cs="Times New Roman"/>
        </w:rPr>
      </w:pPr>
      <w:r w:rsidRPr="00D43AA3">
        <w:rPr>
          <w:rFonts w:ascii="Times New Roman" w:hAnsi="Times New Roman" w:cs="Times New Roman"/>
        </w:rPr>
        <w:t>Une responsabilité qui suppose de relever des défis d’ordre organisationnel</w:t>
      </w:r>
      <w:r w:rsidR="00CB1291" w:rsidRPr="00D43AA3">
        <w:rPr>
          <w:rFonts w:ascii="Times New Roman" w:hAnsi="Times New Roman" w:cs="Times New Roman"/>
        </w:rPr>
        <w:t>s</w:t>
      </w:r>
      <w:r w:rsidR="00F17824">
        <w:rPr>
          <w:rFonts w:ascii="Times New Roman" w:hAnsi="Times New Roman" w:cs="Times New Roman"/>
        </w:rPr>
        <w:t xml:space="preserve"> et managériaux.</w:t>
      </w:r>
    </w:p>
    <w:p w14:paraId="34517C01" w14:textId="4C893C7A" w:rsidR="008809B1" w:rsidRPr="000E7391" w:rsidRDefault="008809B1" w:rsidP="00F847ED">
      <w:pPr>
        <w:jc w:val="both"/>
        <w:rPr>
          <w:rFonts w:ascii="Times New Roman" w:hAnsi="Times New Roman" w:cs="Times New Roman"/>
          <w:u w:val="single"/>
        </w:rPr>
      </w:pPr>
      <w:r w:rsidRPr="000E7391">
        <w:rPr>
          <w:rFonts w:ascii="Times New Roman" w:hAnsi="Times New Roman" w:cs="Times New Roman"/>
        </w:rPr>
        <w:t>Notre contribution s’inscrit dans la suite des travaux déjà menés par l’ANDASS en particulier sur la comparaison des modèles d’organisation et d’intervention sociale, par exemple dans le cadre de la référence de parcours. Elle concerne avant tout les métiers, les missions des professionnels et la</w:t>
      </w:r>
      <w:r w:rsidR="00030816" w:rsidRPr="000E7391">
        <w:rPr>
          <w:rFonts w:ascii="Times New Roman" w:hAnsi="Times New Roman" w:cs="Times New Roman"/>
        </w:rPr>
        <w:t xml:space="preserve"> formation initiale et continue et vient enrichir </w:t>
      </w:r>
      <w:r w:rsidR="002556F8" w:rsidRPr="000E7391">
        <w:rPr>
          <w:rFonts w:ascii="Times New Roman" w:hAnsi="Times New Roman" w:cs="Times New Roman"/>
        </w:rPr>
        <w:t>les travaux de l’ANDASS</w:t>
      </w:r>
      <w:r w:rsidR="00966DC6" w:rsidRPr="000E7391">
        <w:rPr>
          <w:rFonts w:ascii="Times New Roman" w:hAnsi="Times New Roman" w:cs="Times New Roman"/>
        </w:rPr>
        <w:t xml:space="preserve"> en particulier dans le cadre des Etats généraux du travail social en 2015</w:t>
      </w:r>
      <w:r w:rsidR="00883EAE" w:rsidRPr="000E7391">
        <w:rPr>
          <w:rStyle w:val="Appelnotedebasdep"/>
          <w:rFonts w:ascii="Times New Roman" w:hAnsi="Times New Roman" w:cs="Times New Roman"/>
        </w:rPr>
        <w:footnoteReference w:id="5"/>
      </w:r>
    </w:p>
    <w:p w14:paraId="155DD5CD" w14:textId="0FB944EE" w:rsidR="00F847ED" w:rsidRDefault="00F847ED" w:rsidP="006140FF">
      <w:pPr>
        <w:jc w:val="both"/>
        <w:rPr>
          <w:rFonts w:ascii="Times New Roman" w:hAnsi="Times New Roman" w:cs="Times New Roman"/>
        </w:rPr>
      </w:pPr>
    </w:p>
    <w:p w14:paraId="519627AA" w14:textId="087C905C" w:rsidR="00483544" w:rsidRDefault="00483544" w:rsidP="006140FF">
      <w:pPr>
        <w:jc w:val="both"/>
        <w:rPr>
          <w:rFonts w:ascii="Times New Roman" w:hAnsi="Times New Roman" w:cs="Times New Roman"/>
        </w:rPr>
      </w:pPr>
    </w:p>
    <w:p w14:paraId="2DBAC69B" w14:textId="7161F016" w:rsidR="00483544" w:rsidRDefault="00483544" w:rsidP="006140FF">
      <w:pPr>
        <w:jc w:val="both"/>
        <w:rPr>
          <w:rFonts w:ascii="Times New Roman" w:hAnsi="Times New Roman" w:cs="Times New Roman"/>
        </w:rPr>
      </w:pPr>
    </w:p>
    <w:p w14:paraId="55447CA5" w14:textId="77777777" w:rsidR="00483544" w:rsidRPr="00D43AA3" w:rsidRDefault="00483544" w:rsidP="006140FF">
      <w:pPr>
        <w:jc w:val="both"/>
        <w:rPr>
          <w:rFonts w:ascii="Times New Roman" w:hAnsi="Times New Roman" w:cs="Times New Roman"/>
        </w:rPr>
      </w:pPr>
    </w:p>
    <w:p w14:paraId="4BDFD4BE" w14:textId="6CFF0D97" w:rsidR="00F847ED" w:rsidRPr="006319F2" w:rsidRDefault="00483544" w:rsidP="006140FF">
      <w:pPr>
        <w:pStyle w:val="Paragraphedeliste"/>
        <w:numPr>
          <w:ilvl w:val="0"/>
          <w:numId w:val="1"/>
        </w:numPr>
        <w:jc w:val="both"/>
        <w:rPr>
          <w:rFonts w:ascii="Times New Roman" w:hAnsi="Times New Roman" w:cs="Times New Roman"/>
          <w:b/>
          <w:u w:val="single"/>
        </w:rPr>
      </w:pPr>
      <w:r w:rsidRPr="00E71386">
        <w:rPr>
          <w:rFonts w:ascii="Times New Roman" w:hAnsi="Times New Roman" w:cs="Times New Roman"/>
          <w:b/>
          <w:u w:val="single"/>
        </w:rPr>
        <w:t xml:space="preserve">DES SAVOIRS FAIRE A REVALORISER, DES </w:t>
      </w:r>
      <w:r w:rsidRPr="006319F2">
        <w:rPr>
          <w:rFonts w:ascii="Times New Roman" w:hAnsi="Times New Roman" w:cs="Times New Roman"/>
          <w:b/>
          <w:u w:val="single"/>
        </w:rPr>
        <w:t xml:space="preserve">MODALITES D’INTERVENTION SOCIALE A MODERNISER  </w:t>
      </w:r>
    </w:p>
    <w:p w14:paraId="7974E4C8" w14:textId="1BC204A1" w:rsidR="007264D8" w:rsidRPr="006319F2" w:rsidRDefault="007264D8" w:rsidP="00F847ED">
      <w:pPr>
        <w:jc w:val="both"/>
        <w:rPr>
          <w:rFonts w:ascii="Times New Roman" w:hAnsi="Times New Roman" w:cs="Times New Roman"/>
        </w:rPr>
      </w:pPr>
      <w:r w:rsidRPr="006319F2">
        <w:rPr>
          <w:rFonts w:ascii="Times New Roman" w:hAnsi="Times New Roman" w:cs="Times New Roman"/>
        </w:rPr>
        <w:t xml:space="preserve">Les constats autour d’une perte d’attractivité sont connus. Selon FEHAP et NEXEM, acteurs du secteur sanitaire, social et médico-social dans leur baromètre des tensions de recrutement publié le 19 janvier près de 30 000 postes (soignants, travailleurs sociaux), soit 5% de l’effectif global, </w:t>
      </w:r>
      <w:commentRangeStart w:id="1"/>
      <w:r w:rsidRPr="006319F2">
        <w:rPr>
          <w:rFonts w:ascii="Times New Roman" w:hAnsi="Times New Roman" w:cs="Times New Roman"/>
        </w:rPr>
        <w:t>serait</w:t>
      </w:r>
      <w:commentRangeEnd w:id="1"/>
      <w:r w:rsidR="00C27754">
        <w:rPr>
          <w:rStyle w:val="Marquedecommentaire"/>
        </w:rPr>
        <w:commentReference w:id="1"/>
      </w:r>
      <w:r w:rsidRPr="006319F2">
        <w:rPr>
          <w:rFonts w:ascii="Times New Roman" w:hAnsi="Times New Roman" w:cs="Times New Roman"/>
        </w:rPr>
        <w:t xml:space="preserve"> vacants dans le secteur.</w:t>
      </w:r>
      <w:r w:rsidR="00981F7D" w:rsidRPr="006319F2">
        <w:t xml:space="preserve"> </w:t>
      </w:r>
      <w:r w:rsidR="00981F7D" w:rsidRPr="006319F2">
        <w:rPr>
          <w:rFonts w:ascii="Times New Roman" w:hAnsi="Times New Roman" w:cs="Times New Roman"/>
        </w:rPr>
        <w:t>Ce constat rejoint celui de nombreux dirigeants publics et privés qui témoignent des difficultés de recrutement, mais aussi de départs volontaires ainsi que l’émergence de nouvelles pratiques telles que le choix de l’intérim ou du libéral donnant plus de liberté et de choix.</w:t>
      </w:r>
    </w:p>
    <w:p w14:paraId="64F14A7F" w14:textId="7EC16F6E"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L’attractivité repose tout </w:t>
      </w:r>
      <w:r w:rsidR="00981F7D">
        <w:rPr>
          <w:rFonts w:ascii="Times New Roman" w:hAnsi="Times New Roman" w:cs="Times New Roman"/>
        </w:rPr>
        <w:t>d’abord sur une valorisation de ces</w:t>
      </w:r>
      <w:r w:rsidRPr="00D43AA3">
        <w:rPr>
          <w:rFonts w:ascii="Times New Roman" w:hAnsi="Times New Roman" w:cs="Times New Roman"/>
        </w:rPr>
        <w:t xml:space="preserve"> métiers de l’engagement. Au-delà des campagnes de communication que de nombreuses collectivités ou employeurs associatifs ont d’ailleurs mises en place à travers une straté</w:t>
      </w:r>
      <w:r w:rsidR="00661C5B" w:rsidRPr="00D43AA3">
        <w:rPr>
          <w:rFonts w:ascii="Times New Roman" w:hAnsi="Times New Roman" w:cs="Times New Roman"/>
        </w:rPr>
        <w:t>gie de marque employeur</w:t>
      </w:r>
      <w:r w:rsidRPr="00D43AA3">
        <w:rPr>
          <w:rFonts w:ascii="Times New Roman" w:hAnsi="Times New Roman" w:cs="Times New Roman"/>
        </w:rPr>
        <w:t xml:space="preserve">, c’est la visibilité même de ces métiers du lien </w:t>
      </w:r>
      <w:r w:rsidR="00197BDD" w:rsidRPr="00D43AA3">
        <w:rPr>
          <w:rFonts w:ascii="Times New Roman" w:hAnsi="Times New Roman" w:cs="Times New Roman"/>
        </w:rPr>
        <w:t xml:space="preserve">et de l’accompagnement </w:t>
      </w:r>
      <w:r w:rsidRPr="00D43AA3">
        <w:rPr>
          <w:rFonts w:ascii="Times New Roman" w:hAnsi="Times New Roman" w:cs="Times New Roman"/>
        </w:rPr>
        <w:t xml:space="preserve">qui doit être renforcée. </w:t>
      </w:r>
    </w:p>
    <w:p w14:paraId="17C3E34C" w14:textId="7CE94E28" w:rsidR="00F847ED" w:rsidRPr="002556F8" w:rsidRDefault="00F847ED" w:rsidP="00F847ED">
      <w:pPr>
        <w:jc w:val="both"/>
        <w:rPr>
          <w:rFonts w:ascii="Times New Roman" w:hAnsi="Times New Roman" w:cs="Times New Roman"/>
          <w:color w:val="0070C0"/>
        </w:rPr>
      </w:pPr>
      <w:r w:rsidRPr="00D43AA3">
        <w:rPr>
          <w:rFonts w:ascii="Times New Roman" w:hAnsi="Times New Roman" w:cs="Times New Roman"/>
        </w:rPr>
        <w:t>Dans d’autres pays européens ou anglo-saxons, le travail social est un marqueur d’u</w:t>
      </w:r>
      <w:r w:rsidR="000E7391">
        <w:rPr>
          <w:rFonts w:ascii="Times New Roman" w:hAnsi="Times New Roman" w:cs="Times New Roman"/>
        </w:rPr>
        <w:t>n pa</w:t>
      </w:r>
      <w:r w:rsidR="008A0FCF">
        <w:rPr>
          <w:rFonts w:ascii="Times New Roman" w:hAnsi="Times New Roman" w:cs="Times New Roman"/>
        </w:rPr>
        <w:t>rcours professionnel valorisant</w:t>
      </w:r>
      <w:r w:rsidR="000E7391">
        <w:rPr>
          <w:rFonts w:ascii="Times New Roman" w:hAnsi="Times New Roman" w:cs="Times New Roman"/>
        </w:rPr>
        <w:t xml:space="preserve"> </w:t>
      </w:r>
      <w:r w:rsidR="00172480" w:rsidRPr="000E7391">
        <w:rPr>
          <w:rFonts w:ascii="Times New Roman" w:hAnsi="Times New Roman" w:cs="Times New Roman"/>
        </w:rPr>
        <w:t>dans</w:t>
      </w:r>
      <w:r w:rsidR="008A0FCF">
        <w:rPr>
          <w:rFonts w:ascii="Times New Roman" w:hAnsi="Times New Roman" w:cs="Times New Roman"/>
        </w:rPr>
        <w:t xml:space="preserve"> une trajectoire</w:t>
      </w:r>
      <w:r w:rsidR="000E7391">
        <w:rPr>
          <w:rFonts w:ascii="Times New Roman" w:hAnsi="Times New Roman" w:cs="Times New Roman"/>
          <w:i/>
        </w:rPr>
        <w:t>,</w:t>
      </w:r>
      <w:r w:rsidR="000E7391" w:rsidRPr="000E7391">
        <w:rPr>
          <w:rFonts w:ascii="Times New Roman" w:hAnsi="Times New Roman" w:cs="Times New Roman"/>
        </w:rPr>
        <w:t xml:space="preserve"> partant par</w:t>
      </w:r>
      <w:r w:rsidR="000E7391">
        <w:rPr>
          <w:rFonts w:ascii="Times New Roman" w:hAnsi="Times New Roman" w:cs="Times New Roman"/>
        </w:rPr>
        <w:t>f</w:t>
      </w:r>
      <w:r w:rsidR="000E7391" w:rsidRPr="000E7391">
        <w:rPr>
          <w:rFonts w:ascii="Times New Roman" w:hAnsi="Times New Roman" w:cs="Times New Roman"/>
        </w:rPr>
        <w:t>ois d’une conception plus communautaire du travail social</w:t>
      </w:r>
      <w:r w:rsidR="000E7391">
        <w:rPr>
          <w:rFonts w:ascii="Times New Roman" w:hAnsi="Times New Roman" w:cs="Times New Roman"/>
        </w:rPr>
        <w:t xml:space="preserve">. </w:t>
      </w:r>
    </w:p>
    <w:p w14:paraId="50F3A96F"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C’est une véritable stratégie de communication autour des métiers des services à la personne qu’il faut bâtir. Or dans ce domaine ou celui de l’accompagnement social, ce sont parfois davantage les mutuelles ou les compagnies d’assurance qui tentent de saturer l’espace médiatique. </w:t>
      </w:r>
    </w:p>
    <w:p w14:paraId="311BD21E" w14:textId="77777777" w:rsidR="00AA534E" w:rsidRDefault="00F847ED" w:rsidP="00F847ED">
      <w:pPr>
        <w:jc w:val="both"/>
        <w:rPr>
          <w:rFonts w:ascii="Times New Roman" w:hAnsi="Times New Roman" w:cs="Times New Roman"/>
        </w:rPr>
      </w:pPr>
      <w:r w:rsidRPr="00D43AA3">
        <w:rPr>
          <w:rFonts w:ascii="Times New Roman" w:hAnsi="Times New Roman" w:cs="Times New Roman"/>
        </w:rPr>
        <w:t>Le chantier de l’attractivité et du renouvellement des pratiques a au</w:t>
      </w:r>
      <w:r w:rsidR="00102ADD" w:rsidRPr="00D43AA3">
        <w:rPr>
          <w:rFonts w:ascii="Times New Roman" w:hAnsi="Times New Roman" w:cs="Times New Roman"/>
        </w:rPr>
        <w:t xml:space="preserve">ssi des dimensions managériales, l’enjeu étant de dépasser </w:t>
      </w:r>
      <w:r w:rsidRPr="00D43AA3">
        <w:rPr>
          <w:rFonts w:ascii="Times New Roman" w:hAnsi="Times New Roman" w:cs="Times New Roman"/>
        </w:rPr>
        <w:t xml:space="preserve">les approches par catégories de métiers ou de cadre d’emploi au profit d’une démarche par missions. </w:t>
      </w:r>
    </w:p>
    <w:p w14:paraId="5BE2E3AC" w14:textId="5E5B4452" w:rsidR="00AA534E" w:rsidRDefault="006F2ED9" w:rsidP="00F847ED">
      <w:pPr>
        <w:jc w:val="both"/>
        <w:rPr>
          <w:rFonts w:ascii="Times New Roman" w:hAnsi="Times New Roman" w:cs="Times New Roman"/>
        </w:rPr>
      </w:pPr>
      <w:r w:rsidRPr="000E7391">
        <w:rPr>
          <w:rFonts w:ascii="Times New Roman" w:hAnsi="Times New Roman" w:cs="Times New Roman"/>
        </w:rPr>
        <w:t>Cette dém</w:t>
      </w:r>
      <w:r w:rsidR="00692B44" w:rsidRPr="000E7391">
        <w:rPr>
          <w:rFonts w:ascii="Times New Roman" w:hAnsi="Times New Roman" w:cs="Times New Roman"/>
        </w:rPr>
        <w:t>arche permettrait de sortir d’</w:t>
      </w:r>
      <w:r w:rsidRPr="000E7391">
        <w:rPr>
          <w:rFonts w:ascii="Times New Roman" w:hAnsi="Times New Roman" w:cs="Times New Roman"/>
        </w:rPr>
        <w:t>iden</w:t>
      </w:r>
      <w:r w:rsidR="00692B44" w:rsidRPr="000E7391">
        <w:rPr>
          <w:rFonts w:ascii="Times New Roman" w:hAnsi="Times New Roman" w:cs="Times New Roman"/>
        </w:rPr>
        <w:t>tités professionnelles cloisonnées</w:t>
      </w:r>
      <w:r w:rsidRPr="000E7391">
        <w:rPr>
          <w:rFonts w:ascii="Times New Roman" w:hAnsi="Times New Roman" w:cs="Times New Roman"/>
        </w:rPr>
        <w:t>, et de valoris</w:t>
      </w:r>
      <w:r w:rsidR="00692B44" w:rsidRPr="000E7391">
        <w:rPr>
          <w:rFonts w:ascii="Times New Roman" w:hAnsi="Times New Roman" w:cs="Times New Roman"/>
        </w:rPr>
        <w:t>er davantage au niveau salarial</w:t>
      </w:r>
      <w:r w:rsidRPr="000E7391">
        <w:rPr>
          <w:rFonts w:ascii="Times New Roman" w:hAnsi="Times New Roman" w:cs="Times New Roman"/>
        </w:rPr>
        <w:t xml:space="preserve"> le traitement de base</w:t>
      </w:r>
      <w:r w:rsidR="000006F4" w:rsidRPr="000E7391">
        <w:rPr>
          <w:rStyle w:val="Appelnotedebasdep"/>
          <w:rFonts w:ascii="Times New Roman" w:hAnsi="Times New Roman" w:cs="Times New Roman"/>
        </w:rPr>
        <w:footnoteReference w:id="6"/>
      </w:r>
      <w:r w:rsidRPr="000E7391">
        <w:rPr>
          <w:rFonts w:ascii="Times New Roman" w:hAnsi="Times New Roman" w:cs="Times New Roman"/>
        </w:rPr>
        <w:t xml:space="preserve">, très faible lorsqu’on compare au niveau européens. Il convient </w:t>
      </w:r>
      <w:r w:rsidR="00692B44" w:rsidRPr="000E7391">
        <w:rPr>
          <w:rFonts w:ascii="Times New Roman" w:hAnsi="Times New Roman" w:cs="Times New Roman"/>
        </w:rPr>
        <w:t xml:space="preserve">également </w:t>
      </w:r>
      <w:r w:rsidRPr="000E7391">
        <w:rPr>
          <w:rFonts w:ascii="Times New Roman" w:hAnsi="Times New Roman" w:cs="Times New Roman"/>
        </w:rPr>
        <w:t>de trouver les moyens de valo</w:t>
      </w:r>
      <w:r w:rsidR="00692B44" w:rsidRPr="000E7391">
        <w:rPr>
          <w:rFonts w:ascii="Times New Roman" w:hAnsi="Times New Roman" w:cs="Times New Roman"/>
        </w:rPr>
        <w:t>riser l</w:t>
      </w:r>
      <w:r w:rsidRPr="000E7391">
        <w:rPr>
          <w:rFonts w:ascii="Times New Roman" w:hAnsi="Times New Roman" w:cs="Times New Roman"/>
        </w:rPr>
        <w:t>es</w:t>
      </w:r>
      <w:r w:rsidR="00692B44" w:rsidRPr="000E7391">
        <w:rPr>
          <w:rFonts w:ascii="Times New Roman" w:hAnsi="Times New Roman" w:cs="Times New Roman"/>
        </w:rPr>
        <w:t xml:space="preserve"> fonctions de coordination, ou de développement de projets etc</w:t>
      </w:r>
      <w:r w:rsidR="00502E5E" w:rsidRPr="000E7391">
        <w:rPr>
          <w:rFonts w:ascii="Times New Roman" w:hAnsi="Times New Roman" w:cs="Times New Roman"/>
        </w:rPr>
        <w:t>..</w:t>
      </w:r>
      <w:r w:rsidR="00692B44" w:rsidRPr="000E7391">
        <w:rPr>
          <w:rFonts w:ascii="Times New Roman" w:hAnsi="Times New Roman" w:cs="Times New Roman"/>
        </w:rPr>
        <w:t xml:space="preserve"> mises en œuvre de manière individuelle ou collective par certains professionnels. </w:t>
      </w:r>
    </w:p>
    <w:p w14:paraId="3DCB22A3" w14:textId="4758C96D" w:rsidR="00547132" w:rsidRDefault="00547132" w:rsidP="00F847ED">
      <w:pPr>
        <w:jc w:val="both"/>
        <w:rPr>
          <w:rFonts w:ascii="Times New Roman" w:hAnsi="Times New Roman" w:cs="Times New Roman"/>
        </w:rPr>
      </w:pPr>
      <w:r>
        <w:rPr>
          <w:rFonts w:ascii="Times New Roman" w:hAnsi="Times New Roman" w:cs="Times New Roman"/>
        </w:rPr>
        <w:t>Ce sont bien ces compétences individuelles au-delà de la seule maîtrise des cadres d’intervention techniques qui constitue le socle de l’intervention auprès des personnes.</w:t>
      </w:r>
    </w:p>
    <w:p w14:paraId="34343D21" w14:textId="26E24927" w:rsidR="00547132" w:rsidRPr="00547132" w:rsidRDefault="00CE6ACD" w:rsidP="00F847ED">
      <w:pPr>
        <w:jc w:val="both"/>
        <w:rPr>
          <w:rFonts w:ascii="Times New Roman" w:hAnsi="Times New Roman" w:cs="Times New Roman"/>
        </w:rPr>
      </w:pPr>
      <w:r>
        <w:rPr>
          <w:rFonts w:ascii="Times New Roman" w:hAnsi="Times New Roman" w:cs="Times New Roman"/>
        </w:rPr>
        <w:lastRenderedPageBreak/>
        <w:t>D</w:t>
      </w:r>
      <w:r w:rsidR="00547132">
        <w:rPr>
          <w:rFonts w:ascii="Times New Roman" w:hAnsi="Times New Roman" w:cs="Times New Roman"/>
        </w:rPr>
        <w:t>ans le champ de la protection de l’enfance, comme le relève le rapport de Gautier Arnaud Melchior « </w:t>
      </w:r>
      <w:r w:rsidR="00547132" w:rsidRPr="00011F72">
        <w:rPr>
          <w:rFonts w:ascii="Times New Roman" w:hAnsi="Times New Roman" w:cs="Times New Roman"/>
          <w:i/>
        </w:rPr>
        <w:t>A hauteur d’enfant</w:t>
      </w:r>
      <w:r w:rsidR="00547132">
        <w:rPr>
          <w:rFonts w:ascii="Times New Roman" w:hAnsi="Times New Roman" w:cs="Times New Roman"/>
        </w:rPr>
        <w:t> »,</w:t>
      </w:r>
      <w:r w:rsidR="00011F72">
        <w:rPr>
          <w:rFonts w:ascii="Times New Roman" w:hAnsi="Times New Roman" w:cs="Times New Roman"/>
        </w:rPr>
        <w:t xml:space="preserve"> remis au Secrétaire d’Etat </w:t>
      </w:r>
      <w:r>
        <w:rPr>
          <w:rFonts w:ascii="Times New Roman" w:hAnsi="Times New Roman" w:cs="Times New Roman"/>
        </w:rPr>
        <w:t xml:space="preserve">Adrien Taquet </w:t>
      </w:r>
      <w:r w:rsidR="00011F72">
        <w:rPr>
          <w:rFonts w:ascii="Times New Roman" w:hAnsi="Times New Roman" w:cs="Times New Roman"/>
        </w:rPr>
        <w:t xml:space="preserve">en décembre 2021, </w:t>
      </w:r>
      <w:r>
        <w:rPr>
          <w:rFonts w:ascii="Times New Roman" w:hAnsi="Times New Roman" w:cs="Times New Roman"/>
        </w:rPr>
        <w:t xml:space="preserve">la sécurisation du parcours de l’enfant ne dépend pas uniquement du travailleur social, qui serait l’unique détenteur de ce lien en raison de sa qualification ou d’une quelque conque expertise qui lui serait propre.  </w:t>
      </w:r>
    </w:p>
    <w:p w14:paraId="3A799BD9" w14:textId="5CD060E4" w:rsidR="00AA534E" w:rsidRPr="00CE6ACD" w:rsidRDefault="00011F72" w:rsidP="00F847ED">
      <w:pPr>
        <w:jc w:val="both"/>
        <w:rPr>
          <w:rFonts w:ascii="Times New Roman" w:hAnsi="Times New Roman" w:cs="Times New Roman"/>
          <w:i/>
        </w:rPr>
      </w:pPr>
      <w:r w:rsidRPr="00CE6ACD">
        <w:rPr>
          <w:rFonts w:ascii="Times New Roman" w:hAnsi="Times New Roman" w:cs="Times New Roman"/>
          <w:i/>
        </w:rPr>
        <w:t>« </w:t>
      </w:r>
      <w:r w:rsidR="00547132" w:rsidRPr="00CE6ACD">
        <w:rPr>
          <w:rFonts w:ascii="Times New Roman" w:hAnsi="Times New Roman" w:cs="Times New Roman"/>
          <w:i/>
        </w:rPr>
        <w:t>(…l’une des compétences fondamentales des professionnels de la protection de l’enfance est d’évaluer les lieux et capacités d’attachement de l’enfant, de s’assurer qu’il puisse en bénéficier, de sa capacité à pouvoir s’inscrire dans des relations, qu’il accepte d’être aimé, de s’autoriser à ressentir, à éprouver et à témoigner de l’affection envers ses camarades de classe, ses amis et plus tard dans sa vie d’adulte</w:t>
      </w:r>
      <w:r w:rsidR="00AB2A5A" w:rsidRPr="00CE6ACD">
        <w:rPr>
          <w:rFonts w:ascii="Times New Roman" w:hAnsi="Times New Roman" w:cs="Times New Roman"/>
          <w:i/>
        </w:rPr>
        <w:t> »</w:t>
      </w:r>
      <w:r w:rsidRPr="00CE6ACD">
        <w:rPr>
          <w:rStyle w:val="Appelnotedebasdep"/>
          <w:rFonts w:ascii="Times New Roman" w:hAnsi="Times New Roman" w:cs="Times New Roman"/>
          <w:i/>
        </w:rPr>
        <w:footnoteReference w:id="7"/>
      </w:r>
      <w:r w:rsidR="00547132" w:rsidRPr="00CE6ACD">
        <w:rPr>
          <w:rFonts w:ascii="Times New Roman" w:hAnsi="Times New Roman" w:cs="Times New Roman"/>
          <w:i/>
        </w:rPr>
        <w:t>.</w:t>
      </w:r>
    </w:p>
    <w:p w14:paraId="340CC769" w14:textId="4D06F7A9" w:rsidR="00547132" w:rsidRDefault="00F847ED" w:rsidP="00F847ED">
      <w:pPr>
        <w:jc w:val="both"/>
        <w:rPr>
          <w:rFonts w:ascii="Times New Roman" w:hAnsi="Times New Roman" w:cs="Times New Roman"/>
        </w:rPr>
      </w:pPr>
      <w:r w:rsidRPr="00D43AA3">
        <w:rPr>
          <w:rFonts w:ascii="Times New Roman" w:hAnsi="Times New Roman" w:cs="Times New Roman"/>
        </w:rPr>
        <w:t>C’est en repartant des missions et non plus des métiers que l’on arrive à redonner du sens</w:t>
      </w:r>
      <w:r w:rsidR="00547132">
        <w:rPr>
          <w:rFonts w:ascii="Times New Roman" w:hAnsi="Times New Roman" w:cs="Times New Roman"/>
        </w:rPr>
        <w:t xml:space="preserve"> et à renouveler les pratiques </w:t>
      </w:r>
      <w:r w:rsidR="00AB2A5A">
        <w:rPr>
          <w:rFonts w:ascii="Times New Roman" w:hAnsi="Times New Roman" w:cs="Times New Roman"/>
        </w:rPr>
        <w:t>de telle sorte que la réflexion sur l’attractivité du travail social ne peut se limiter à identifier une seule catégorie de professionnel. Force est de constater que d’autres professionnels font « travail social » dans de nombreux services et institutions, qu’il s’agisse des professionnels administratifs par exemple</w:t>
      </w:r>
    </w:p>
    <w:p w14:paraId="5FC4543D" w14:textId="1A698A31"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La transformation de l’offre a aussi un impact sur les organisations et les modalités d’intervention des professionnels du champ social et médico-social. </w:t>
      </w:r>
    </w:p>
    <w:p w14:paraId="09E08C0B"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Ainsi l’exemple des communautés 360 dans le champ du handicap montre que la réponse ne dépend pas d’un seul intervenant mais nécessite de construire un réseau de professionnels partenaires appartement à </w:t>
      </w:r>
      <w:r w:rsidR="00197BDD" w:rsidRPr="00D43AA3">
        <w:rPr>
          <w:rFonts w:ascii="Times New Roman" w:hAnsi="Times New Roman" w:cs="Times New Roman"/>
        </w:rPr>
        <w:t>différents « corps de métiers », différents axes d’intervention.</w:t>
      </w:r>
    </w:p>
    <w:p w14:paraId="06693A59"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Cette approche par mission permet aussi de recentrer le travail social sur ce qui doit être sa visée, à savoir l’autonomie de la personne. </w:t>
      </w:r>
    </w:p>
    <w:p w14:paraId="0DF00C3A" w14:textId="69EE2858" w:rsidR="00F847ED" w:rsidRPr="00CE6ACD" w:rsidRDefault="00F847ED" w:rsidP="00F847ED">
      <w:pPr>
        <w:jc w:val="both"/>
        <w:rPr>
          <w:rFonts w:ascii="Times New Roman" w:hAnsi="Times New Roman" w:cs="Times New Roman"/>
        </w:rPr>
      </w:pPr>
      <w:r w:rsidRPr="00D43AA3">
        <w:rPr>
          <w:rFonts w:ascii="Times New Roman" w:hAnsi="Times New Roman" w:cs="Times New Roman"/>
        </w:rPr>
        <w:t>Recentrer le travail social, cela suppose de repositionner la question de l’accès aux droits qui ne doit pas être l’apanage exclusif des travailleurs sociaux, mais peut relever d’une montée en compétence d</w:t>
      </w:r>
      <w:r w:rsidR="009F5F6D" w:rsidRPr="00D43AA3">
        <w:rPr>
          <w:rFonts w:ascii="Times New Roman" w:hAnsi="Times New Roman" w:cs="Times New Roman"/>
        </w:rPr>
        <w:t>e profess</w:t>
      </w:r>
      <w:r w:rsidR="00B7633A">
        <w:rPr>
          <w:rFonts w:ascii="Times New Roman" w:hAnsi="Times New Roman" w:cs="Times New Roman"/>
        </w:rPr>
        <w:t xml:space="preserve">ionnels administratifs en amont, </w:t>
      </w:r>
      <w:r w:rsidR="00B7633A" w:rsidRPr="00CE6ACD">
        <w:rPr>
          <w:rFonts w:ascii="Times New Roman" w:hAnsi="Times New Roman" w:cs="Times New Roman"/>
        </w:rPr>
        <w:t xml:space="preserve">permettant aux travailleurs sociaux de se concentrer sur leurs missions d’accompagnement. </w:t>
      </w:r>
    </w:p>
    <w:p w14:paraId="61C9271D" w14:textId="604BB4D4" w:rsidR="00291F2B" w:rsidRPr="00CE6ACD" w:rsidRDefault="00F847ED" w:rsidP="00F847ED">
      <w:pPr>
        <w:jc w:val="both"/>
        <w:rPr>
          <w:rFonts w:ascii="Times New Roman" w:hAnsi="Times New Roman" w:cs="Times New Roman"/>
        </w:rPr>
      </w:pPr>
      <w:r w:rsidRPr="00CE6ACD">
        <w:rPr>
          <w:rFonts w:ascii="Times New Roman" w:hAnsi="Times New Roman" w:cs="Times New Roman"/>
        </w:rPr>
        <w:t>De même le débat autour de la polyvalence de secteur</w:t>
      </w:r>
      <w:r w:rsidR="009F78FB" w:rsidRPr="00CE6ACD">
        <w:rPr>
          <w:rStyle w:val="Appelnotedebasdep"/>
          <w:rFonts w:ascii="Times New Roman" w:hAnsi="Times New Roman" w:cs="Times New Roman"/>
        </w:rPr>
        <w:footnoteReference w:id="8"/>
      </w:r>
      <w:r w:rsidRPr="00CE6ACD">
        <w:rPr>
          <w:rFonts w:ascii="Times New Roman" w:hAnsi="Times New Roman" w:cs="Times New Roman"/>
        </w:rPr>
        <w:t xml:space="preserve"> doit être tranchée à partir d’un benchmark des pratiques dans les institutions, ce qui ouvre la question de la désectorisation des interventions, qui peut d’autant plus s’envisager dans des territoires où les caractéristiques sociales</w:t>
      </w:r>
      <w:r w:rsidR="008809B1" w:rsidRPr="00CE6ACD">
        <w:rPr>
          <w:rFonts w:ascii="Times New Roman" w:hAnsi="Times New Roman" w:cs="Times New Roman"/>
        </w:rPr>
        <w:t xml:space="preserve"> et sociologiques sont proches. </w:t>
      </w:r>
      <w:r w:rsidR="007264D8" w:rsidRPr="00CE6ACD">
        <w:rPr>
          <w:rFonts w:ascii="Times New Roman" w:hAnsi="Times New Roman" w:cs="Times New Roman"/>
        </w:rPr>
        <w:t>Il ne s’agit pas de privilégier un m</w:t>
      </w:r>
      <w:r w:rsidR="008809B1" w:rsidRPr="00CE6ACD">
        <w:rPr>
          <w:rFonts w:ascii="Times New Roman" w:hAnsi="Times New Roman" w:cs="Times New Roman"/>
        </w:rPr>
        <w:t xml:space="preserve">odèle à un autre, mais </w:t>
      </w:r>
      <w:r w:rsidR="002D78E6" w:rsidRPr="00CE6ACD">
        <w:rPr>
          <w:rFonts w:ascii="Times New Roman" w:hAnsi="Times New Roman" w:cs="Times New Roman"/>
        </w:rPr>
        <w:t>d</w:t>
      </w:r>
      <w:r w:rsidR="00291F2B" w:rsidRPr="00CE6ACD">
        <w:rPr>
          <w:rFonts w:ascii="Times New Roman" w:hAnsi="Times New Roman" w:cs="Times New Roman"/>
        </w:rPr>
        <w:t>e distinguer dans les pratiques trois principaux niveaux interventions</w:t>
      </w:r>
      <w:r w:rsidR="00502E5E" w:rsidRPr="00CE6ACD">
        <w:rPr>
          <w:rFonts w:ascii="Times New Roman" w:hAnsi="Times New Roman" w:cs="Times New Roman"/>
        </w:rPr>
        <w:t xml:space="preserve"> : </w:t>
      </w:r>
      <w:r w:rsidR="00291F2B" w:rsidRPr="00CE6ACD">
        <w:rPr>
          <w:rFonts w:ascii="Times New Roman" w:hAnsi="Times New Roman" w:cs="Times New Roman"/>
        </w:rPr>
        <w:t xml:space="preserve"> </w:t>
      </w:r>
    </w:p>
    <w:p w14:paraId="54B0441C" w14:textId="5F3331EF" w:rsidR="00E71386" w:rsidRPr="00CE6ACD" w:rsidRDefault="00291F2B" w:rsidP="00F847ED">
      <w:pPr>
        <w:pStyle w:val="Paragraphedeliste"/>
        <w:numPr>
          <w:ilvl w:val="0"/>
          <w:numId w:val="2"/>
        </w:numPr>
        <w:jc w:val="both"/>
        <w:rPr>
          <w:rFonts w:ascii="Times New Roman" w:hAnsi="Times New Roman" w:cs="Times New Roman"/>
        </w:rPr>
      </w:pPr>
      <w:r w:rsidRPr="00CE6ACD">
        <w:rPr>
          <w:rFonts w:ascii="Times New Roman" w:hAnsi="Times New Roman" w:cs="Times New Roman"/>
        </w:rPr>
        <w:t>ce qui relève d’un accueil inconditionnel et de l’accès a</w:t>
      </w:r>
      <w:r w:rsidR="009F78FB" w:rsidRPr="00CE6ACD">
        <w:rPr>
          <w:rFonts w:ascii="Times New Roman" w:hAnsi="Times New Roman" w:cs="Times New Roman"/>
        </w:rPr>
        <w:t xml:space="preserve">ux droits qui peut être assuré </w:t>
      </w:r>
      <w:r w:rsidRPr="00CE6ACD">
        <w:rPr>
          <w:rFonts w:ascii="Times New Roman" w:hAnsi="Times New Roman" w:cs="Times New Roman"/>
        </w:rPr>
        <w:t>par des professionnels non issues de la filière sociale ou médico-sociale</w:t>
      </w:r>
      <w:r w:rsidR="00CE6ACD">
        <w:rPr>
          <w:rFonts w:ascii="Times New Roman" w:hAnsi="Times New Roman" w:cs="Times New Roman"/>
        </w:rPr>
        <w:t xml:space="preserve">, mais de la filière administrative </w:t>
      </w:r>
      <w:r w:rsidR="009F78FB" w:rsidRPr="00CE6ACD">
        <w:rPr>
          <w:rFonts w:ascii="Times New Roman" w:hAnsi="Times New Roman" w:cs="Times New Roman"/>
        </w:rPr>
        <w:t>(un peu comme les techniciens</w:t>
      </w:r>
      <w:r w:rsidRPr="00CE6ACD">
        <w:rPr>
          <w:rFonts w:ascii="Times New Roman" w:hAnsi="Times New Roman" w:cs="Times New Roman"/>
        </w:rPr>
        <w:t xml:space="preserve"> conseils au sein des CAF)</w:t>
      </w:r>
    </w:p>
    <w:p w14:paraId="1631F763" w14:textId="77777777" w:rsidR="00E71386" w:rsidRPr="00CE6ACD" w:rsidRDefault="00E71386" w:rsidP="00E71386">
      <w:pPr>
        <w:pStyle w:val="Paragraphedeliste"/>
        <w:jc w:val="both"/>
        <w:rPr>
          <w:rFonts w:ascii="Times New Roman" w:hAnsi="Times New Roman" w:cs="Times New Roman"/>
        </w:rPr>
      </w:pPr>
    </w:p>
    <w:p w14:paraId="404EC4EB" w14:textId="7A9263AB" w:rsidR="00E71386" w:rsidRPr="00CE6ACD" w:rsidRDefault="00291F2B" w:rsidP="00F847ED">
      <w:pPr>
        <w:pStyle w:val="Paragraphedeliste"/>
        <w:numPr>
          <w:ilvl w:val="0"/>
          <w:numId w:val="2"/>
        </w:numPr>
        <w:jc w:val="both"/>
        <w:rPr>
          <w:rFonts w:ascii="Times New Roman" w:hAnsi="Times New Roman" w:cs="Times New Roman"/>
        </w:rPr>
      </w:pPr>
      <w:r w:rsidRPr="00CE6ACD">
        <w:rPr>
          <w:rFonts w:ascii="Times New Roman" w:hAnsi="Times New Roman" w:cs="Times New Roman"/>
        </w:rPr>
        <w:t>ce qui relève de l’évaluation globale qui doit mobiliser des référentiels et outils partagés en</w:t>
      </w:r>
      <w:r w:rsidR="00E71386" w:rsidRPr="00CE6ACD">
        <w:rPr>
          <w:rFonts w:ascii="Times New Roman" w:hAnsi="Times New Roman" w:cs="Times New Roman"/>
        </w:rPr>
        <w:t>tre professionnels. E</w:t>
      </w:r>
      <w:r w:rsidRPr="00CE6ACD">
        <w:rPr>
          <w:rFonts w:ascii="Times New Roman" w:hAnsi="Times New Roman" w:cs="Times New Roman"/>
        </w:rPr>
        <w:t>n ce sens la mise en place de systèmes d’informations partagés est une condition incontournab</w:t>
      </w:r>
      <w:r w:rsidR="00E71386" w:rsidRPr="00CE6ACD">
        <w:rPr>
          <w:rFonts w:ascii="Times New Roman" w:hAnsi="Times New Roman" w:cs="Times New Roman"/>
        </w:rPr>
        <w:t>le, comme le déploient certains éditeurs autour du dossier numérique de l’usager ;</w:t>
      </w:r>
    </w:p>
    <w:p w14:paraId="5D06923A" w14:textId="77777777" w:rsidR="00E71386" w:rsidRPr="00CE6ACD" w:rsidRDefault="00E71386" w:rsidP="00E71386">
      <w:pPr>
        <w:pStyle w:val="Paragraphedeliste"/>
        <w:jc w:val="both"/>
        <w:rPr>
          <w:rFonts w:ascii="Times New Roman" w:hAnsi="Times New Roman" w:cs="Times New Roman"/>
        </w:rPr>
      </w:pPr>
    </w:p>
    <w:p w14:paraId="4D89BF2D" w14:textId="383E123F" w:rsidR="00E71386" w:rsidRPr="00CE6ACD" w:rsidRDefault="00E71386" w:rsidP="00F847ED">
      <w:pPr>
        <w:pStyle w:val="Paragraphedeliste"/>
        <w:numPr>
          <w:ilvl w:val="0"/>
          <w:numId w:val="2"/>
        </w:numPr>
        <w:jc w:val="both"/>
        <w:rPr>
          <w:rFonts w:ascii="Times New Roman" w:hAnsi="Times New Roman" w:cs="Times New Roman"/>
        </w:rPr>
      </w:pPr>
      <w:r w:rsidRPr="00CE6ACD">
        <w:rPr>
          <w:rFonts w:ascii="Times New Roman" w:hAnsi="Times New Roman" w:cs="Times New Roman"/>
        </w:rPr>
        <w:t>ce qui relève de l’accompagnement qui nécessite une coordination d’intervenants spécialisés et qui peut être délégués à certains opérateurs (associatif ou institutionnels dans le cadre de la référence de parcours par exemple).</w:t>
      </w:r>
    </w:p>
    <w:p w14:paraId="08338EBF" w14:textId="77777777" w:rsidR="00AA534E" w:rsidRDefault="00F847ED" w:rsidP="00AA534E">
      <w:pPr>
        <w:jc w:val="both"/>
        <w:rPr>
          <w:rFonts w:ascii="Times New Roman" w:hAnsi="Times New Roman" w:cs="Times New Roman"/>
        </w:rPr>
      </w:pPr>
      <w:r w:rsidRPr="00CE6ACD">
        <w:rPr>
          <w:rFonts w:ascii="Times New Roman" w:hAnsi="Times New Roman" w:cs="Times New Roman"/>
        </w:rPr>
        <w:lastRenderedPageBreak/>
        <w:t>La notion d’assistant au projet de vie</w:t>
      </w:r>
      <w:r w:rsidR="00522C97" w:rsidRPr="00D43AA3">
        <w:rPr>
          <w:rStyle w:val="Appelnotedebasdep"/>
          <w:rFonts w:ascii="Times New Roman" w:hAnsi="Times New Roman" w:cs="Times New Roman"/>
        </w:rPr>
        <w:footnoteReference w:id="9"/>
      </w:r>
      <w:r w:rsidRPr="00D43AA3">
        <w:rPr>
          <w:rFonts w:ascii="Times New Roman" w:hAnsi="Times New Roman" w:cs="Times New Roman"/>
        </w:rPr>
        <w:t xml:space="preserve">, utilisée dans le secteur médico-social, mériterait d’être reprise s’agissant de l’accompagnement social, on parle aussi parfois de « </w:t>
      </w:r>
      <w:r w:rsidRPr="00D43AA3">
        <w:rPr>
          <w:rFonts w:ascii="Times New Roman" w:hAnsi="Times New Roman" w:cs="Times New Roman"/>
          <w:i/>
        </w:rPr>
        <w:t>care manager</w:t>
      </w:r>
      <w:r w:rsidRPr="00D43AA3">
        <w:rPr>
          <w:rFonts w:ascii="Times New Roman" w:hAnsi="Times New Roman" w:cs="Times New Roman"/>
        </w:rPr>
        <w:t xml:space="preserve"> » pour le champ de la perte d’autonomie, qui vont bien au-delà du changement sémantique. </w:t>
      </w:r>
    </w:p>
    <w:p w14:paraId="066B6168" w14:textId="6DFA1019" w:rsidR="00483544" w:rsidRPr="00D43AA3" w:rsidRDefault="00F847ED" w:rsidP="00483544">
      <w:pPr>
        <w:jc w:val="both"/>
        <w:rPr>
          <w:rFonts w:ascii="Times New Roman" w:hAnsi="Times New Roman" w:cs="Times New Roman"/>
        </w:rPr>
      </w:pPr>
      <w:r w:rsidRPr="00D43AA3">
        <w:rPr>
          <w:rFonts w:ascii="Times New Roman" w:hAnsi="Times New Roman" w:cs="Times New Roman"/>
        </w:rPr>
        <w:t xml:space="preserve">Ce sont de nouvelles compétences pas simplement celles liées aux sciences sociales qui doivent être mobilisées et de nouvelles pratiques à engager. </w:t>
      </w:r>
    </w:p>
    <w:p w14:paraId="033C4EF2" w14:textId="304B237E" w:rsidR="00F847ED" w:rsidRPr="00D43AA3" w:rsidRDefault="00483544" w:rsidP="005D02EC">
      <w:pPr>
        <w:pStyle w:val="Paragraphedeliste"/>
        <w:numPr>
          <w:ilvl w:val="0"/>
          <w:numId w:val="1"/>
        </w:numPr>
        <w:jc w:val="both"/>
        <w:rPr>
          <w:rFonts w:ascii="Times New Roman" w:hAnsi="Times New Roman" w:cs="Times New Roman"/>
          <w:b/>
          <w:u w:val="single"/>
        </w:rPr>
      </w:pPr>
      <w:r>
        <w:rPr>
          <w:rFonts w:ascii="Times New Roman" w:hAnsi="Times New Roman" w:cs="Times New Roman"/>
          <w:b/>
          <w:u w:val="single"/>
        </w:rPr>
        <w:t xml:space="preserve">DES </w:t>
      </w:r>
      <w:r w:rsidRPr="00D43AA3">
        <w:rPr>
          <w:rFonts w:ascii="Times New Roman" w:hAnsi="Times New Roman" w:cs="Times New Roman"/>
          <w:b/>
          <w:u w:val="single"/>
        </w:rPr>
        <w:t xml:space="preserve">PRATIQUES </w:t>
      </w:r>
      <w:r>
        <w:rPr>
          <w:rFonts w:ascii="Times New Roman" w:hAnsi="Times New Roman" w:cs="Times New Roman"/>
          <w:b/>
          <w:u w:val="single"/>
        </w:rPr>
        <w:t xml:space="preserve">A RENOVER </w:t>
      </w:r>
      <w:r w:rsidRPr="00D43AA3">
        <w:rPr>
          <w:rFonts w:ascii="Times New Roman" w:hAnsi="Times New Roman" w:cs="Times New Roman"/>
          <w:b/>
          <w:u w:val="single"/>
        </w:rPr>
        <w:t>PAR LE DEVELOPPEMENT DE NOUVELLES COMPETENCES FACE A DE NOUVEAUX PUBLICS.</w:t>
      </w:r>
    </w:p>
    <w:p w14:paraId="3BAD5B1A"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L’apport théorique du travail social ne peut se limiter à la sphère des sciences sociales, mais doit aussi s’intéresser aux apports des sciences cognitives par exemple, comme l’ont démontré les approches développées autour de la démarche du parcours 1000 jours dans le domaine de l’enfance et de la petite enfance.</w:t>
      </w:r>
    </w:p>
    <w:p w14:paraId="048CCF57" w14:textId="69651DA5" w:rsidR="00F847ED" w:rsidRPr="00D43AA3" w:rsidRDefault="00F847ED" w:rsidP="00F847ED">
      <w:pPr>
        <w:jc w:val="both"/>
        <w:rPr>
          <w:rFonts w:ascii="Times New Roman" w:hAnsi="Times New Roman" w:cs="Times New Roman"/>
        </w:rPr>
      </w:pPr>
      <w:r w:rsidRPr="00D43AA3">
        <w:rPr>
          <w:rFonts w:ascii="Times New Roman" w:hAnsi="Times New Roman" w:cs="Times New Roman"/>
        </w:rPr>
        <w:t>Au-delà également des approches purement sociologiques, d’autres travaux théoriques doivent nourrir l’intervention sociale, la connaissance de l’histoire des sociétés d’un point de vue anthropologique s’avère déterminant dans la compréhension des problématiques sociales de certains quartiers ou territoires, comme l’a montré l’ouvrage d’Hugues Lagrange, Le Déni des cultures</w:t>
      </w:r>
      <w:r w:rsidR="00AD1731">
        <w:rPr>
          <w:rStyle w:val="Appelnotedebasdep"/>
          <w:rFonts w:ascii="Times New Roman" w:hAnsi="Times New Roman" w:cs="Times New Roman"/>
        </w:rPr>
        <w:footnoteReference w:id="10"/>
      </w:r>
      <w:r w:rsidRPr="00D43AA3">
        <w:rPr>
          <w:rFonts w:ascii="Times New Roman" w:hAnsi="Times New Roman" w:cs="Times New Roman"/>
        </w:rPr>
        <w:t xml:space="preserve">. </w:t>
      </w:r>
    </w:p>
    <w:p w14:paraId="28FAED63"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 xml:space="preserve">Le travail social n’est pas seulement confronté à de nouveaux enjeux, il agit également auprès de nouveaux publics exposés à des parcours complexes, comme c’est le cas avec la prévention de la radicalisation, ou à des situations de crise intrafamiliale entrainant des violences. </w:t>
      </w:r>
    </w:p>
    <w:p w14:paraId="3D71ABF5" w14:textId="77777777" w:rsidR="00490FB1" w:rsidRPr="00D43AA3" w:rsidRDefault="00F847ED" w:rsidP="00F847ED">
      <w:pPr>
        <w:jc w:val="both"/>
        <w:rPr>
          <w:rFonts w:ascii="Times New Roman" w:hAnsi="Times New Roman" w:cs="Times New Roman"/>
        </w:rPr>
      </w:pPr>
      <w:r w:rsidRPr="00D43AA3">
        <w:rPr>
          <w:rFonts w:ascii="Times New Roman" w:hAnsi="Times New Roman" w:cs="Times New Roman"/>
        </w:rPr>
        <w:t xml:space="preserve">L’émergence de ces nouveaux publics se situent également dans un contexte </w:t>
      </w:r>
      <w:r w:rsidR="00490FB1" w:rsidRPr="00D43AA3">
        <w:rPr>
          <w:rFonts w:ascii="Times New Roman" w:hAnsi="Times New Roman" w:cs="Times New Roman"/>
        </w:rPr>
        <w:t>européen, comme le souligne un article de Julien DAMON, publié en mai 2021</w:t>
      </w:r>
      <w:r w:rsidR="00490FB1" w:rsidRPr="00D43AA3">
        <w:rPr>
          <w:rStyle w:val="Appelnotedebasdep"/>
          <w:rFonts w:ascii="Times New Roman" w:hAnsi="Times New Roman" w:cs="Times New Roman"/>
        </w:rPr>
        <w:footnoteReference w:id="11"/>
      </w:r>
      <w:r w:rsidR="00490FB1" w:rsidRPr="00D43AA3">
        <w:rPr>
          <w:rFonts w:ascii="Times New Roman" w:hAnsi="Times New Roman" w:cs="Times New Roman"/>
        </w:rPr>
        <w:t xml:space="preserve"> à l’occasion du sommet social de Porto et qui démontre que la prise en charge des sans-abri dans de nombreuses métropoles est un sujet à replacer dans le cadre des migrations européennes.  « </w:t>
      </w:r>
      <w:r w:rsidR="00490FB1" w:rsidRPr="00D43AA3">
        <w:rPr>
          <w:rFonts w:ascii="Times New Roman" w:hAnsi="Times New Roman" w:cs="Times New Roman"/>
          <w:i/>
        </w:rPr>
        <w:t>La gestion européenne de l’immigration et de l’asile contribue à précariser une partie des migrants extra-européens, en particulier ceux qui sont en attente de statut</w:t>
      </w:r>
    </w:p>
    <w:p w14:paraId="4CDEAA4C" w14:textId="7140126A" w:rsidR="00F847ED" w:rsidRPr="00CE6ACD" w:rsidRDefault="00F847ED" w:rsidP="00F847ED">
      <w:pPr>
        <w:jc w:val="both"/>
        <w:rPr>
          <w:rFonts w:ascii="Times New Roman" w:hAnsi="Times New Roman" w:cs="Times New Roman"/>
        </w:rPr>
      </w:pPr>
      <w:r w:rsidRPr="00D43AA3">
        <w:rPr>
          <w:rFonts w:ascii="Times New Roman" w:hAnsi="Times New Roman" w:cs="Times New Roman"/>
        </w:rPr>
        <w:t>Mais les savoirs qui peuvent être mobilisés pour enrichir les pratiques ne sont pas seulement des savoirs techniques</w:t>
      </w:r>
      <w:r w:rsidR="009F5F6D" w:rsidRPr="00D43AA3">
        <w:rPr>
          <w:rFonts w:ascii="Times New Roman" w:hAnsi="Times New Roman" w:cs="Times New Roman"/>
        </w:rPr>
        <w:t>,</w:t>
      </w:r>
      <w:r w:rsidRPr="00D43AA3">
        <w:rPr>
          <w:rFonts w:ascii="Times New Roman" w:hAnsi="Times New Roman" w:cs="Times New Roman"/>
        </w:rPr>
        <w:t xml:space="preserve"> il s’agit aussi de savoirs ou compétences dites transférables, de telles sortes que les travailleurs </w:t>
      </w:r>
      <w:r w:rsidRPr="00CE6ACD">
        <w:rPr>
          <w:rFonts w:ascii="Times New Roman" w:hAnsi="Times New Roman" w:cs="Times New Roman"/>
        </w:rPr>
        <w:t xml:space="preserve">sociaux </w:t>
      </w:r>
      <w:r w:rsidR="003508B8" w:rsidRPr="00CE6ACD">
        <w:rPr>
          <w:rFonts w:ascii="Times New Roman" w:hAnsi="Times New Roman" w:cs="Times New Roman"/>
        </w:rPr>
        <w:t xml:space="preserve">sont </w:t>
      </w:r>
      <w:r w:rsidR="007F38C2" w:rsidRPr="00D43AA3">
        <w:rPr>
          <w:rFonts w:ascii="Times New Roman" w:hAnsi="Times New Roman" w:cs="Times New Roman"/>
        </w:rPr>
        <w:t xml:space="preserve">des professionnels </w:t>
      </w:r>
      <w:r w:rsidRPr="00D43AA3">
        <w:rPr>
          <w:rFonts w:ascii="Times New Roman" w:hAnsi="Times New Roman" w:cs="Times New Roman"/>
        </w:rPr>
        <w:t>du lien soci</w:t>
      </w:r>
      <w:r w:rsidR="003508B8">
        <w:rPr>
          <w:rFonts w:ascii="Times New Roman" w:hAnsi="Times New Roman" w:cs="Times New Roman"/>
        </w:rPr>
        <w:t xml:space="preserve">al et de la relation aux autres, </w:t>
      </w:r>
      <w:r w:rsidR="003508B8" w:rsidRPr="00CE6ACD">
        <w:rPr>
          <w:rFonts w:ascii="Times New Roman" w:hAnsi="Times New Roman" w:cs="Times New Roman"/>
        </w:rPr>
        <w:t>et cela doit être reconnu.</w:t>
      </w:r>
      <w:r w:rsidRPr="00CE6ACD">
        <w:rPr>
          <w:rFonts w:ascii="Times New Roman" w:hAnsi="Times New Roman" w:cs="Times New Roman"/>
        </w:rPr>
        <w:t xml:space="preserve"> </w:t>
      </w:r>
    </w:p>
    <w:p w14:paraId="15380CB7"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Une étude réalisée par Pôle Emploi et France stratégie publiée en mai 2021</w:t>
      </w:r>
      <w:r w:rsidR="004F44F8" w:rsidRPr="00D43AA3">
        <w:rPr>
          <w:rStyle w:val="Appelnotedebasdep"/>
          <w:rFonts w:ascii="Times New Roman" w:hAnsi="Times New Roman" w:cs="Times New Roman"/>
        </w:rPr>
        <w:footnoteReference w:id="12"/>
      </w:r>
      <w:r w:rsidRPr="00D43AA3">
        <w:rPr>
          <w:rFonts w:ascii="Times New Roman" w:hAnsi="Times New Roman" w:cs="Times New Roman"/>
        </w:rPr>
        <w:t xml:space="preserve"> vient précisément souligner que les compétences les plus demandées dans un contexte de transformations accélérée concernent « les situations imposant un contact avec le public, le travail en équipe, ou une </w:t>
      </w:r>
      <w:r w:rsidR="00E73015" w:rsidRPr="00D43AA3">
        <w:rPr>
          <w:rFonts w:ascii="Times New Roman" w:hAnsi="Times New Roman" w:cs="Times New Roman"/>
        </w:rPr>
        <w:t>« </w:t>
      </w:r>
      <w:r w:rsidRPr="00D43AA3">
        <w:rPr>
          <w:rFonts w:ascii="Times New Roman" w:hAnsi="Times New Roman" w:cs="Times New Roman"/>
        </w:rPr>
        <w:t>charge émotionnelle</w:t>
      </w:r>
      <w:r w:rsidR="00E73015" w:rsidRPr="00D43AA3">
        <w:rPr>
          <w:rFonts w:ascii="Times New Roman" w:hAnsi="Times New Roman" w:cs="Times New Roman"/>
        </w:rPr>
        <w:t> ».</w:t>
      </w:r>
      <w:r w:rsidRPr="00D43AA3">
        <w:rPr>
          <w:rFonts w:ascii="Times New Roman" w:hAnsi="Times New Roman" w:cs="Times New Roman"/>
        </w:rPr>
        <w:t xml:space="preserve">  </w:t>
      </w:r>
    </w:p>
    <w:p w14:paraId="224C7990" w14:textId="77777777" w:rsidR="00F847ED" w:rsidRPr="00D43AA3" w:rsidRDefault="00F847ED" w:rsidP="00F847ED">
      <w:pPr>
        <w:jc w:val="both"/>
        <w:rPr>
          <w:rFonts w:ascii="Times New Roman" w:hAnsi="Times New Roman" w:cs="Times New Roman"/>
        </w:rPr>
      </w:pPr>
      <w:r w:rsidRPr="00D43AA3">
        <w:rPr>
          <w:rFonts w:ascii="Times New Roman" w:hAnsi="Times New Roman" w:cs="Times New Roman"/>
        </w:rPr>
        <w:t>Ce sont d</w:t>
      </w:r>
      <w:r w:rsidR="00E73015" w:rsidRPr="00D43AA3">
        <w:rPr>
          <w:rFonts w:ascii="Times New Roman" w:hAnsi="Times New Roman" w:cs="Times New Roman"/>
        </w:rPr>
        <w:t xml:space="preserve">e nouveaux savoirs </w:t>
      </w:r>
      <w:r w:rsidRPr="00D43AA3">
        <w:rPr>
          <w:rFonts w:ascii="Times New Roman" w:hAnsi="Times New Roman" w:cs="Times New Roman"/>
        </w:rPr>
        <w:t xml:space="preserve">aujourd’hui nécessaires pour travailler en réseau et en lien avec d’autres professionnels et secteurs qui sont de plus en plus imbriqués dans </w:t>
      </w:r>
      <w:r w:rsidR="00E73015" w:rsidRPr="00D43AA3">
        <w:rPr>
          <w:rFonts w:ascii="Times New Roman" w:hAnsi="Times New Roman" w:cs="Times New Roman"/>
        </w:rPr>
        <w:t>la prise en charge de personnes</w:t>
      </w:r>
      <w:r w:rsidRPr="00D43AA3">
        <w:rPr>
          <w:rFonts w:ascii="Times New Roman" w:hAnsi="Times New Roman" w:cs="Times New Roman"/>
        </w:rPr>
        <w:t xml:space="preserve"> (c’est le cas notamment des situations dites complexes relevant des champs du social, du médico-social et du sanitaire). </w:t>
      </w:r>
    </w:p>
    <w:p w14:paraId="6AE03BD0" w14:textId="77777777" w:rsidR="00F847ED" w:rsidRPr="00D43AA3" w:rsidRDefault="00F847ED" w:rsidP="00175F94">
      <w:pPr>
        <w:jc w:val="both"/>
        <w:rPr>
          <w:rFonts w:ascii="Times New Roman" w:hAnsi="Times New Roman" w:cs="Times New Roman"/>
        </w:rPr>
      </w:pPr>
      <w:r w:rsidRPr="00D43AA3">
        <w:rPr>
          <w:rFonts w:ascii="Times New Roman" w:hAnsi="Times New Roman" w:cs="Times New Roman"/>
        </w:rPr>
        <w:t>Ces prises en charge nécessite une compréhension systémique des acteurs et financements, qui passent par des formations communes aux différentes écoles et institut</w:t>
      </w:r>
      <w:r w:rsidR="00E73015" w:rsidRPr="00D43AA3">
        <w:rPr>
          <w:rFonts w:ascii="Times New Roman" w:hAnsi="Times New Roman" w:cs="Times New Roman"/>
        </w:rPr>
        <w:t>s</w:t>
      </w:r>
      <w:r w:rsidRPr="00D43AA3">
        <w:rPr>
          <w:rFonts w:ascii="Times New Roman" w:hAnsi="Times New Roman" w:cs="Times New Roman"/>
        </w:rPr>
        <w:t xml:space="preserve"> (par exemple au niveau des cadres et managers entre le réseau des INSET et l’EHESP-Ecole des hautes études en santé publique- ou l’EN3S-Ecole</w:t>
      </w:r>
      <w:r w:rsidR="00175F94" w:rsidRPr="00D43AA3">
        <w:rPr>
          <w:rFonts w:ascii="Times New Roman" w:hAnsi="Times New Roman" w:cs="Times New Roman"/>
        </w:rPr>
        <w:t xml:space="preserve"> nationale de Sécurité sociale). </w:t>
      </w:r>
    </w:p>
    <w:p w14:paraId="376384BD" w14:textId="77777777" w:rsidR="00F847ED" w:rsidRPr="00D43AA3" w:rsidRDefault="00F847ED" w:rsidP="00175F94">
      <w:pPr>
        <w:jc w:val="both"/>
        <w:rPr>
          <w:rFonts w:ascii="Times New Roman" w:hAnsi="Times New Roman" w:cs="Times New Roman"/>
        </w:rPr>
      </w:pPr>
      <w:r w:rsidRPr="00D43AA3">
        <w:rPr>
          <w:rFonts w:ascii="Times New Roman" w:hAnsi="Times New Roman" w:cs="Times New Roman"/>
        </w:rPr>
        <w:lastRenderedPageBreak/>
        <w:t xml:space="preserve">En s’inspirant des travaux menés dans le cadre des métiers de la branche autonomie, la refonte des catégories d’emplois vers une seule filière du travail social serait un premier pas vers cette nécessaire convergence des métiers du lien social. </w:t>
      </w:r>
    </w:p>
    <w:p w14:paraId="7FE808F8" w14:textId="77777777" w:rsidR="00F847ED" w:rsidRPr="00D43AA3" w:rsidRDefault="00F847ED" w:rsidP="00175F94">
      <w:pPr>
        <w:jc w:val="both"/>
        <w:rPr>
          <w:rFonts w:ascii="Times New Roman" w:hAnsi="Times New Roman" w:cs="Times New Roman"/>
        </w:rPr>
      </w:pPr>
      <w:r w:rsidRPr="00D43AA3">
        <w:rPr>
          <w:rFonts w:ascii="Times New Roman" w:hAnsi="Times New Roman" w:cs="Times New Roman"/>
        </w:rPr>
        <w:t>La constitution d’un socle commun posé par le décret n° 2018-734 du 22 août 2018 relatif aux formations et diplômes du travail social va dans le sens de cette évolution plus structurelle des cadres d’emplois et spécialisation</w:t>
      </w:r>
      <w:r w:rsidR="00E73015" w:rsidRPr="00D43AA3">
        <w:rPr>
          <w:rFonts w:ascii="Times New Roman" w:hAnsi="Times New Roman" w:cs="Times New Roman"/>
        </w:rPr>
        <w:t>s professionnelles.</w:t>
      </w:r>
    </w:p>
    <w:p w14:paraId="03AD08C9" w14:textId="27A277FE" w:rsidR="00F847ED" w:rsidRPr="00D43AA3" w:rsidRDefault="00483544" w:rsidP="00F847ED">
      <w:pPr>
        <w:pStyle w:val="Paragraphedeliste"/>
        <w:numPr>
          <w:ilvl w:val="0"/>
          <w:numId w:val="1"/>
        </w:numPr>
        <w:jc w:val="both"/>
        <w:rPr>
          <w:rFonts w:ascii="Times New Roman" w:hAnsi="Times New Roman" w:cs="Times New Roman"/>
          <w:b/>
          <w:u w:val="single"/>
        </w:rPr>
      </w:pPr>
      <w:r w:rsidRPr="00D43AA3">
        <w:rPr>
          <w:rFonts w:ascii="Times New Roman" w:hAnsi="Times New Roman" w:cs="Times New Roman"/>
          <w:b/>
          <w:u w:val="single"/>
        </w:rPr>
        <w:t>UNE FORMATION INITIALE ET CONTINUE QUI DOIT INTEGRER L’ACCOMPAGNEMENT A LA TRANSFORMATION DES MISSIONS ET METIERS</w:t>
      </w:r>
    </w:p>
    <w:p w14:paraId="6CFF7E6E" w14:textId="4F3086C9" w:rsidR="00F847ED" w:rsidRPr="00493A94" w:rsidRDefault="00F847ED" w:rsidP="00F847ED">
      <w:pPr>
        <w:jc w:val="both"/>
        <w:rPr>
          <w:rFonts w:ascii="Times New Roman" w:hAnsi="Times New Roman" w:cs="Times New Roman"/>
          <w:color w:val="0070C0"/>
        </w:rPr>
      </w:pPr>
      <w:r w:rsidRPr="00D43AA3">
        <w:rPr>
          <w:rFonts w:ascii="Times New Roman" w:hAnsi="Times New Roman" w:cs="Times New Roman"/>
        </w:rPr>
        <w:t xml:space="preserve">Le diplôme de travail social défini par le ministère en charge des affaires sociales recouvre </w:t>
      </w:r>
      <w:r w:rsidR="00EC54ED">
        <w:rPr>
          <w:rFonts w:ascii="Times New Roman" w:hAnsi="Times New Roman" w:cs="Times New Roman"/>
        </w:rPr>
        <w:t xml:space="preserve">au total 13 types de </w:t>
      </w:r>
      <w:r w:rsidRPr="00D43AA3">
        <w:rPr>
          <w:rFonts w:ascii="Times New Roman" w:hAnsi="Times New Roman" w:cs="Times New Roman"/>
        </w:rPr>
        <w:t xml:space="preserve"> t qualifications en travail social qui </w:t>
      </w:r>
      <w:r w:rsidR="00EC54ED">
        <w:rPr>
          <w:rFonts w:ascii="Times New Roman" w:hAnsi="Times New Roman" w:cs="Times New Roman"/>
        </w:rPr>
        <w:t>s’étalent sur une large palette.</w:t>
      </w:r>
    </w:p>
    <w:p w14:paraId="20A22D56" w14:textId="68F84DA5" w:rsidR="005D02EC" w:rsidRPr="00D43AA3" w:rsidRDefault="00F847ED" w:rsidP="006140FF">
      <w:pPr>
        <w:jc w:val="both"/>
        <w:rPr>
          <w:rFonts w:ascii="Times New Roman" w:hAnsi="Times New Roman" w:cs="Times New Roman"/>
        </w:rPr>
      </w:pPr>
      <w:r w:rsidRPr="00D43AA3">
        <w:rPr>
          <w:rFonts w:ascii="Times New Roman" w:hAnsi="Times New Roman" w:cs="Times New Roman"/>
        </w:rPr>
        <w:t>Dans d’autres pays notamment anglo-saxons, la formation d’éducateurs spécialisés se fait à l’université. Il semble qu’il y ait une spécificité française sur la formation qui se fait en institut de</w:t>
      </w:r>
      <w:r w:rsidR="005D02EC" w:rsidRPr="00D43AA3">
        <w:rPr>
          <w:rFonts w:ascii="Times New Roman" w:hAnsi="Times New Roman" w:cs="Times New Roman"/>
        </w:rPr>
        <w:t xml:space="preserve"> formation de statut associatif</w:t>
      </w:r>
      <w:r w:rsidR="00CE6ACD">
        <w:rPr>
          <w:rFonts w:ascii="Times New Roman" w:hAnsi="Times New Roman" w:cs="Times New Roman"/>
        </w:rPr>
        <w:t xml:space="preserve"> avec une multitude de diplôme.</w:t>
      </w:r>
    </w:p>
    <w:p w14:paraId="08B1FAF6" w14:textId="77777777" w:rsidR="005D02EC" w:rsidRPr="00D43AA3" w:rsidRDefault="00F847ED" w:rsidP="006140FF">
      <w:pPr>
        <w:jc w:val="both"/>
        <w:rPr>
          <w:rFonts w:ascii="Times New Roman" w:hAnsi="Times New Roman" w:cs="Times New Roman"/>
        </w:rPr>
      </w:pPr>
      <w:r w:rsidRPr="00D43AA3">
        <w:rPr>
          <w:rFonts w:ascii="Times New Roman" w:hAnsi="Times New Roman" w:cs="Times New Roman"/>
        </w:rPr>
        <w:t xml:space="preserve">La formation initiale est confrontée à l’émergence des </w:t>
      </w:r>
      <w:proofErr w:type="spellStart"/>
      <w:r w:rsidRPr="00D43AA3">
        <w:rPr>
          <w:rFonts w:ascii="Times New Roman" w:hAnsi="Times New Roman" w:cs="Times New Roman"/>
        </w:rPr>
        <w:t>bachelors</w:t>
      </w:r>
      <w:proofErr w:type="spellEnd"/>
      <w:r w:rsidRPr="00D43AA3">
        <w:rPr>
          <w:rFonts w:ascii="Times New Roman" w:hAnsi="Times New Roman" w:cs="Times New Roman"/>
        </w:rPr>
        <w:t xml:space="preserve"> universitaires de technologie (BUT) développés par les IUT. Ces « </w:t>
      </w:r>
      <w:proofErr w:type="spellStart"/>
      <w:r w:rsidRPr="00D43AA3">
        <w:rPr>
          <w:rFonts w:ascii="Times New Roman" w:hAnsi="Times New Roman" w:cs="Times New Roman"/>
        </w:rPr>
        <w:t>bachelors</w:t>
      </w:r>
      <w:proofErr w:type="spellEnd"/>
      <w:r w:rsidRPr="00D43AA3">
        <w:rPr>
          <w:rFonts w:ascii="Times New Roman" w:hAnsi="Times New Roman" w:cs="Times New Roman"/>
        </w:rPr>
        <w:t xml:space="preserve"> » dispensés par les universités de technologie se préparent en général pendant 3 ans. Ce modèle se rapprochant du modèle prévalent dans les autres pays européens, vient percuter celui des écoles/instituts de formation. </w:t>
      </w:r>
    </w:p>
    <w:p w14:paraId="2EF5641E" w14:textId="77777777" w:rsidR="005D02EC" w:rsidRPr="00D43AA3" w:rsidRDefault="005D02EC" w:rsidP="005D02EC">
      <w:pPr>
        <w:jc w:val="both"/>
        <w:rPr>
          <w:rFonts w:ascii="Times New Roman" w:hAnsi="Times New Roman" w:cs="Times New Roman"/>
        </w:rPr>
      </w:pPr>
      <w:r w:rsidRPr="00D43AA3">
        <w:rPr>
          <w:rFonts w:ascii="Times New Roman" w:hAnsi="Times New Roman" w:cs="Times New Roman"/>
        </w:rPr>
        <w:t xml:space="preserve">Un état des lieux avec une véritable cartographie des différentes formations existantes semble indispensable pour pouvoir évaluer les apports de ces différents cursus, en particulier concernant les formations d’encadrement. A ce sujet, s’agissant du secteur public, on peut s’interroger sur la plus-value de </w:t>
      </w:r>
      <w:r w:rsidR="006140FF" w:rsidRPr="00D43AA3">
        <w:rPr>
          <w:rFonts w:ascii="Times New Roman" w:hAnsi="Times New Roman" w:cs="Times New Roman"/>
        </w:rPr>
        <w:t>certaines formations dispensées</w:t>
      </w:r>
      <w:r w:rsidRPr="00D43AA3">
        <w:rPr>
          <w:rFonts w:ascii="Times New Roman" w:hAnsi="Times New Roman" w:cs="Times New Roman"/>
        </w:rPr>
        <w:t xml:space="preserve"> par des instituts privés comme le CAFERUIS et des formations au contenu plus transversales dispensées par le réseau des écoles et instituts publics du CNFPT.</w:t>
      </w:r>
    </w:p>
    <w:p w14:paraId="170EA7F2" w14:textId="77777777" w:rsidR="00F847ED" w:rsidRPr="00D43AA3" w:rsidRDefault="00F847ED" w:rsidP="007F38C2">
      <w:pPr>
        <w:jc w:val="both"/>
        <w:rPr>
          <w:rFonts w:ascii="Times New Roman" w:hAnsi="Times New Roman" w:cs="Times New Roman"/>
        </w:rPr>
      </w:pPr>
      <w:r w:rsidRPr="00D43AA3">
        <w:rPr>
          <w:rFonts w:ascii="Times New Roman" w:hAnsi="Times New Roman" w:cs="Times New Roman"/>
        </w:rPr>
        <w:t xml:space="preserve">La complexité du paysage et des cadres relatifs à l’action sociale nécessite un niveau d’expertise qui peut parfois enfermer dans la connaissance d’un seul domaine alors que ce sont les compétences dites transférables partagées entre différents métiers qui sont souvent clé pour réussir les transitions digitales, sociales et écologiques auxquels sont confrontés les organisations. </w:t>
      </w:r>
    </w:p>
    <w:p w14:paraId="284DA89C" w14:textId="37CEEA4A" w:rsidR="00F847ED" w:rsidRDefault="00F847ED" w:rsidP="007F38C2">
      <w:pPr>
        <w:jc w:val="both"/>
        <w:rPr>
          <w:rFonts w:ascii="Times New Roman" w:hAnsi="Times New Roman" w:cs="Times New Roman"/>
        </w:rPr>
      </w:pPr>
      <w:r w:rsidRPr="00D43AA3">
        <w:rPr>
          <w:rFonts w:ascii="Times New Roman" w:hAnsi="Times New Roman" w:cs="Times New Roman"/>
        </w:rPr>
        <w:t xml:space="preserve">Ouvrir le chantier des formations, suppose également d’encourager les voies d’accès en cours de formation professionnelle ou par le biais des dispositifs de VAE (valorisation des acquis de l’expérience) </w:t>
      </w:r>
      <w:r w:rsidR="005D02EC" w:rsidRPr="00D43AA3">
        <w:rPr>
          <w:rFonts w:ascii="Times New Roman" w:hAnsi="Times New Roman" w:cs="Times New Roman"/>
        </w:rPr>
        <w:t xml:space="preserve">à encourager. </w:t>
      </w:r>
    </w:p>
    <w:p w14:paraId="17FEF5B9" w14:textId="38375C45" w:rsidR="000C4368" w:rsidRPr="00E92A4F" w:rsidRDefault="00E92A4F" w:rsidP="007F38C2">
      <w:pPr>
        <w:jc w:val="both"/>
        <w:rPr>
          <w:rFonts w:ascii="Times New Roman" w:hAnsi="Times New Roman" w:cs="Times New Roman"/>
        </w:rPr>
      </w:pPr>
      <w:r w:rsidRPr="00E92A4F">
        <w:rPr>
          <w:rFonts w:ascii="Times New Roman" w:hAnsi="Times New Roman" w:cs="Times New Roman"/>
        </w:rPr>
        <w:t>Le développement des actions de formatio</w:t>
      </w:r>
      <w:r>
        <w:rPr>
          <w:rFonts w:ascii="Times New Roman" w:hAnsi="Times New Roman" w:cs="Times New Roman"/>
        </w:rPr>
        <w:t xml:space="preserve">n continue suppose également que les employeurs mettent à disposition de véritable espace ou lieu pour soutenir </w:t>
      </w:r>
      <w:r w:rsidR="000C4368" w:rsidRPr="00E92A4F">
        <w:rPr>
          <w:rFonts w:ascii="Times New Roman" w:hAnsi="Times New Roman" w:cs="Times New Roman"/>
        </w:rPr>
        <w:t>l’analyse</w:t>
      </w:r>
      <w:r>
        <w:rPr>
          <w:rFonts w:ascii="Times New Roman" w:hAnsi="Times New Roman" w:cs="Times New Roman"/>
        </w:rPr>
        <w:t xml:space="preserve"> des pratiques, la supervision….</w:t>
      </w:r>
    </w:p>
    <w:p w14:paraId="464A3D44" w14:textId="77777777" w:rsidR="00F847ED" w:rsidRPr="00D43AA3" w:rsidRDefault="00F847ED" w:rsidP="007F38C2">
      <w:pPr>
        <w:jc w:val="both"/>
        <w:rPr>
          <w:rFonts w:ascii="Times New Roman" w:hAnsi="Times New Roman" w:cs="Times New Roman"/>
        </w:rPr>
      </w:pPr>
      <w:r w:rsidRPr="00D43AA3">
        <w:rPr>
          <w:rFonts w:ascii="Times New Roman" w:hAnsi="Times New Roman" w:cs="Times New Roman"/>
        </w:rPr>
        <w:t xml:space="preserve">Les dispositifs d’apprentissage doivent également être davantage soutenus. Ainsi en 2021 l’IRTS de Montrouge-Neuilly-sur-Marne a mis en place une promotion d’apprentis s’orientant vers le diplôme d’éducateurs spécialisés et ayant des parcours très divers, certains ayant déjà eu une expérience professionnelle (dans les métiers de l’enseignement par exemple) ou ayant souhaité se réorienter en cours d’étude. </w:t>
      </w:r>
    </w:p>
    <w:p w14:paraId="48B1F1F7" w14:textId="6271587F" w:rsidR="00175F94" w:rsidRDefault="00F847ED" w:rsidP="007F38C2">
      <w:pPr>
        <w:jc w:val="both"/>
        <w:rPr>
          <w:rFonts w:ascii="Times New Roman" w:hAnsi="Times New Roman" w:cs="Times New Roman"/>
        </w:rPr>
      </w:pPr>
      <w:r w:rsidRPr="00D43AA3">
        <w:rPr>
          <w:rFonts w:ascii="Times New Roman" w:hAnsi="Times New Roman" w:cs="Times New Roman"/>
        </w:rPr>
        <w:t>Au sein des forma</w:t>
      </w:r>
      <w:r w:rsidR="00175F94" w:rsidRPr="00D43AA3">
        <w:rPr>
          <w:rFonts w:ascii="Times New Roman" w:hAnsi="Times New Roman" w:cs="Times New Roman"/>
        </w:rPr>
        <w:t xml:space="preserve">tions initiales et continues, </w:t>
      </w:r>
      <w:r w:rsidRPr="00D43AA3">
        <w:rPr>
          <w:rFonts w:ascii="Times New Roman" w:hAnsi="Times New Roman" w:cs="Times New Roman"/>
        </w:rPr>
        <w:t xml:space="preserve">la maitrise du digital et des systèmes d’informations est essentielle et doit être intégrée dès la formation initiale avec le recours à des partenariats, avec certaines agences de l’Etat (programmes de formation de l’Agence du Numérique en Santé, ou avec l’ANAP par exemple).  </w:t>
      </w:r>
    </w:p>
    <w:p w14:paraId="3676AAD4" w14:textId="13AF9EEB" w:rsidR="00291F2B" w:rsidRDefault="00291F2B" w:rsidP="007F38C2">
      <w:pPr>
        <w:jc w:val="both"/>
        <w:rPr>
          <w:rFonts w:ascii="Times New Roman" w:hAnsi="Times New Roman" w:cs="Times New Roman"/>
        </w:rPr>
      </w:pPr>
    </w:p>
    <w:p w14:paraId="5370654D" w14:textId="19EB2333" w:rsidR="00EC54ED" w:rsidRDefault="00EC54ED" w:rsidP="007F38C2">
      <w:pPr>
        <w:jc w:val="both"/>
        <w:rPr>
          <w:rFonts w:ascii="Times New Roman" w:hAnsi="Times New Roman" w:cs="Times New Roman"/>
        </w:rPr>
      </w:pPr>
    </w:p>
    <w:p w14:paraId="6CB22867" w14:textId="09C4DF33" w:rsidR="00EC54ED" w:rsidRDefault="00EC54ED" w:rsidP="007F38C2">
      <w:pPr>
        <w:jc w:val="both"/>
        <w:rPr>
          <w:rFonts w:ascii="Times New Roman" w:hAnsi="Times New Roman" w:cs="Times New Roman"/>
        </w:rPr>
      </w:pPr>
    </w:p>
    <w:p w14:paraId="60B34AAB" w14:textId="5944633A" w:rsidR="00EC54ED" w:rsidRDefault="00EC54ED" w:rsidP="007F38C2">
      <w:pPr>
        <w:jc w:val="both"/>
        <w:rPr>
          <w:rFonts w:ascii="Times New Roman" w:hAnsi="Times New Roman" w:cs="Times New Roman"/>
        </w:rPr>
      </w:pPr>
    </w:p>
    <w:p w14:paraId="2F9F917F" w14:textId="77777777" w:rsidR="00EC54ED" w:rsidRDefault="00EC54ED" w:rsidP="007F38C2">
      <w:pPr>
        <w:jc w:val="both"/>
        <w:rPr>
          <w:rFonts w:ascii="Times New Roman" w:hAnsi="Times New Roman" w:cs="Times New Roman"/>
        </w:rPr>
      </w:pPr>
    </w:p>
    <w:p w14:paraId="4C2E9E21" w14:textId="77777777" w:rsidR="00291F2B" w:rsidRPr="00D43AA3" w:rsidRDefault="00291F2B" w:rsidP="007F38C2">
      <w:pPr>
        <w:jc w:val="both"/>
        <w:rPr>
          <w:rFonts w:ascii="Times New Roman" w:hAnsi="Times New Roman" w:cs="Times New Roman"/>
        </w:rPr>
      </w:pPr>
    </w:p>
    <w:p w14:paraId="6D9C6CD1" w14:textId="1C7AF85F" w:rsidR="007F38C2" w:rsidRPr="00D43AA3" w:rsidRDefault="00EC54ED" w:rsidP="00175F94">
      <w:pPr>
        <w:pStyle w:val="Paragraphedeliste"/>
        <w:numPr>
          <w:ilvl w:val="0"/>
          <w:numId w:val="1"/>
        </w:numPr>
        <w:jc w:val="both"/>
        <w:rPr>
          <w:rFonts w:ascii="Times New Roman" w:hAnsi="Times New Roman" w:cs="Times New Roman"/>
          <w:b/>
          <w:u w:val="single"/>
        </w:rPr>
      </w:pPr>
      <w:r w:rsidRPr="00D43AA3">
        <w:rPr>
          <w:rFonts w:ascii="Times New Roman" w:hAnsi="Times New Roman" w:cs="Times New Roman"/>
          <w:b/>
          <w:u w:val="single"/>
        </w:rPr>
        <w:t>DES CHANTIERS QUI SUPPOSENT</w:t>
      </w:r>
      <w:r>
        <w:rPr>
          <w:rFonts w:ascii="Times New Roman" w:hAnsi="Times New Roman" w:cs="Times New Roman"/>
          <w:b/>
          <w:u w:val="single"/>
        </w:rPr>
        <w:t xml:space="preserve"> </w:t>
      </w:r>
      <w:r w:rsidRPr="001973FA">
        <w:rPr>
          <w:rFonts w:ascii="Times New Roman" w:hAnsi="Times New Roman" w:cs="Times New Roman"/>
          <w:b/>
          <w:u w:val="single"/>
        </w:rPr>
        <w:t xml:space="preserve">AUSSI </w:t>
      </w:r>
      <w:r>
        <w:rPr>
          <w:rFonts w:ascii="Times New Roman" w:hAnsi="Times New Roman" w:cs="Times New Roman"/>
          <w:b/>
          <w:u w:val="single"/>
        </w:rPr>
        <w:t>D’</w:t>
      </w:r>
      <w:r w:rsidRPr="00D43AA3">
        <w:rPr>
          <w:rFonts w:ascii="Times New Roman" w:hAnsi="Times New Roman" w:cs="Times New Roman"/>
          <w:b/>
          <w:u w:val="single"/>
        </w:rPr>
        <w:t>INTERROGER CEUX QUI SONT LES PREMIERS CONCERNES, A SAVOIR LES PUBLICS EUX-MEMES.</w:t>
      </w:r>
    </w:p>
    <w:p w14:paraId="250770D5" w14:textId="350DA296" w:rsidR="007F38C2" w:rsidRPr="001973FA" w:rsidRDefault="007F38C2" w:rsidP="007F38C2">
      <w:pPr>
        <w:jc w:val="both"/>
        <w:rPr>
          <w:rFonts w:ascii="Times New Roman" w:hAnsi="Times New Roman" w:cs="Times New Roman"/>
        </w:rPr>
      </w:pPr>
      <w:r w:rsidRPr="00D43AA3">
        <w:rPr>
          <w:rFonts w:ascii="Times New Roman" w:hAnsi="Times New Roman" w:cs="Times New Roman"/>
        </w:rPr>
        <w:t>Pourquoi ne pas interroger les 1</w:t>
      </w:r>
      <w:r w:rsidRPr="00D43AA3">
        <w:rPr>
          <w:rFonts w:ascii="Times New Roman" w:hAnsi="Times New Roman" w:cs="Times New Roman"/>
          <w:vertAlign w:val="superscript"/>
        </w:rPr>
        <w:t>ers</w:t>
      </w:r>
      <w:r w:rsidRPr="00D43AA3">
        <w:rPr>
          <w:rFonts w:ascii="Times New Roman" w:hAnsi="Times New Roman" w:cs="Times New Roman"/>
        </w:rPr>
        <w:t xml:space="preserve"> concernés ? A – ton un jour fait une vaste enquête auprès des personnes pour savoir ce qu’elles attendent / souhaitent / espèrent d’un travailleur social ?</w:t>
      </w:r>
      <w:r w:rsidR="00700649">
        <w:rPr>
          <w:rFonts w:ascii="Times New Roman" w:hAnsi="Times New Roman" w:cs="Times New Roman"/>
        </w:rPr>
        <w:t xml:space="preserve"> </w:t>
      </w:r>
      <w:r w:rsidR="00700649" w:rsidRPr="001973FA">
        <w:rPr>
          <w:rFonts w:ascii="Times New Roman" w:hAnsi="Times New Roman" w:cs="Times New Roman"/>
        </w:rPr>
        <w:t>Les comités locaux de travail social œuvrent</w:t>
      </w:r>
      <w:r w:rsidR="00692B44" w:rsidRPr="001973FA">
        <w:rPr>
          <w:rFonts w:ascii="Times New Roman" w:hAnsi="Times New Roman" w:cs="Times New Roman"/>
        </w:rPr>
        <w:t xml:space="preserve"> d’une certaine mesure en ce sens et pourraient être associés à ces travaux. </w:t>
      </w:r>
    </w:p>
    <w:p w14:paraId="29806C3A" w14:textId="284391B5" w:rsidR="007F38C2" w:rsidRPr="001973FA" w:rsidRDefault="007F38C2" w:rsidP="007F38C2">
      <w:pPr>
        <w:jc w:val="both"/>
        <w:rPr>
          <w:rFonts w:ascii="Times New Roman" w:hAnsi="Times New Roman" w:cs="Times New Roman"/>
        </w:rPr>
      </w:pPr>
      <w:r w:rsidRPr="00D43AA3">
        <w:rPr>
          <w:rFonts w:ascii="Times New Roman" w:hAnsi="Times New Roman" w:cs="Times New Roman"/>
        </w:rPr>
        <w:t>Sans aller forcément sur un questionnaire de satisfactions, la réalisation d’une enquête incluant aussi bien les publics, que les partenaires du quotidien (les autres institutions et acteurs publics et privés intervenant dans le champ social), mais aussi les élus de proximité</w:t>
      </w:r>
      <w:r w:rsidR="00E71386">
        <w:rPr>
          <w:rFonts w:ascii="Times New Roman" w:hAnsi="Times New Roman" w:cs="Times New Roman"/>
        </w:rPr>
        <w:t>,</w:t>
      </w:r>
      <w:r w:rsidRPr="00D43AA3">
        <w:rPr>
          <w:rFonts w:ascii="Times New Roman" w:hAnsi="Times New Roman" w:cs="Times New Roman"/>
        </w:rPr>
        <w:t xml:space="preserve"> </w:t>
      </w:r>
      <w:r w:rsidR="00E71386">
        <w:rPr>
          <w:rFonts w:ascii="Times New Roman" w:hAnsi="Times New Roman" w:cs="Times New Roman"/>
        </w:rPr>
        <w:t>permettrait</w:t>
      </w:r>
      <w:r w:rsidRPr="00D43AA3">
        <w:rPr>
          <w:rFonts w:ascii="Times New Roman" w:hAnsi="Times New Roman" w:cs="Times New Roman"/>
        </w:rPr>
        <w:t xml:space="preserve"> de refléter les attentes mais aussi de se défaire de certaine repré</w:t>
      </w:r>
      <w:r w:rsidR="000006F4">
        <w:rPr>
          <w:rFonts w:ascii="Times New Roman" w:hAnsi="Times New Roman" w:cs="Times New Roman"/>
        </w:rPr>
        <w:t xml:space="preserve">sentations autour de l’image </w:t>
      </w:r>
      <w:r w:rsidR="000006F4" w:rsidRPr="001973FA">
        <w:rPr>
          <w:rFonts w:ascii="Times New Roman" w:hAnsi="Times New Roman" w:cs="Times New Roman"/>
        </w:rPr>
        <w:t>du travailleur social</w:t>
      </w:r>
      <w:r w:rsidR="008A061E">
        <w:rPr>
          <w:rStyle w:val="Appelnotedebasdep"/>
          <w:rFonts w:ascii="Times New Roman" w:hAnsi="Times New Roman" w:cs="Times New Roman"/>
        </w:rPr>
        <w:footnoteReference w:id="13"/>
      </w:r>
      <w:r w:rsidR="005C6CF6">
        <w:rPr>
          <w:rFonts w:ascii="Times New Roman" w:hAnsi="Times New Roman" w:cs="Times New Roman"/>
        </w:rPr>
        <w:t>.</w:t>
      </w:r>
    </w:p>
    <w:p w14:paraId="3EC4C689" w14:textId="75F19E7F" w:rsidR="007F38C2" w:rsidRDefault="00F17824">
      <w:pPr>
        <w:rPr>
          <w:rFonts w:ascii="Times New Roman" w:hAnsi="Times New Roman" w:cs="Times New Roman"/>
        </w:rPr>
      </w:pPr>
      <w:r>
        <w:rPr>
          <w:rFonts w:ascii="Times New Roman" w:hAnsi="Times New Roman" w:cs="Times New Roman"/>
        </w:rPr>
        <w:t>Pour mener de tels chantiers, l’implication et la participation des professionnels est indispensable.</w:t>
      </w:r>
    </w:p>
    <w:p w14:paraId="4AF6BC68" w14:textId="77777777" w:rsidR="00332A82" w:rsidRDefault="00332A82">
      <w:pPr>
        <w:rPr>
          <w:rFonts w:ascii="Times New Roman" w:hAnsi="Times New Roman" w:cs="Times New Roman"/>
        </w:rPr>
      </w:pPr>
    </w:p>
    <w:p w14:paraId="74D1DBEE" w14:textId="77777777" w:rsidR="00332A82" w:rsidRDefault="00332A82">
      <w:pPr>
        <w:rPr>
          <w:rFonts w:ascii="Times New Roman" w:hAnsi="Times New Roman" w:cs="Times New Roman"/>
        </w:rPr>
      </w:pPr>
    </w:p>
    <w:p w14:paraId="42C5F205" w14:textId="336A117A" w:rsidR="00332A82" w:rsidRDefault="0009499A">
      <w:pPr>
        <w:rPr>
          <w:rFonts w:ascii="Times New Roman" w:hAnsi="Times New Roman" w:cs="Times New Roman"/>
        </w:rPr>
      </w:pPr>
      <w:r>
        <w:rPr>
          <w:rFonts w:ascii="Times New Roman" w:hAnsi="Times New Roman" w:cs="Times New Roman"/>
        </w:rPr>
        <w:t>Février 2022</w:t>
      </w:r>
    </w:p>
    <w:p w14:paraId="6CB6526E" w14:textId="4DD70E66" w:rsidR="0009499A" w:rsidRDefault="0009499A">
      <w:pPr>
        <w:rPr>
          <w:rFonts w:ascii="Times New Roman" w:hAnsi="Times New Roman" w:cs="Times New Roman"/>
        </w:rPr>
      </w:pPr>
      <w:r>
        <w:rPr>
          <w:rFonts w:ascii="Times New Roman" w:hAnsi="Times New Roman" w:cs="Times New Roman"/>
        </w:rPr>
        <w:t>Andass – Réseau travail social et développement social</w:t>
      </w:r>
    </w:p>
    <w:p w14:paraId="4E5047F4" w14:textId="5991C26B" w:rsidR="00A24E5B" w:rsidRDefault="006C35F4">
      <w:pPr>
        <w:rPr>
          <w:rFonts w:ascii="Times New Roman" w:hAnsi="Times New Roman" w:cs="Times New Roman"/>
        </w:rPr>
      </w:pPr>
      <w:hyperlink r:id="rId13" w:history="1">
        <w:r w:rsidR="00A24E5B" w:rsidRPr="00176DF2">
          <w:rPr>
            <w:rStyle w:val="Lienhypertexte"/>
            <w:rFonts w:ascii="Times New Roman" w:hAnsi="Times New Roman" w:cs="Times New Roman"/>
          </w:rPr>
          <w:t>https://www.andass.fr</w:t>
        </w:r>
      </w:hyperlink>
    </w:p>
    <w:p w14:paraId="4CE628FC" w14:textId="77777777" w:rsidR="00A24E5B" w:rsidRPr="005C6CF6" w:rsidRDefault="00A24E5B">
      <w:pPr>
        <w:rPr>
          <w:rFonts w:ascii="Times New Roman" w:hAnsi="Times New Roman" w:cs="Times New Roman"/>
        </w:rPr>
      </w:pPr>
    </w:p>
    <w:sectPr w:rsidR="00A24E5B" w:rsidRPr="005C6CF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land Giraud" w:date="2022-01-27T13:17:00Z" w:initials="RG">
    <w:p w14:paraId="70DF78C0" w14:textId="77777777" w:rsidR="00CD76BA" w:rsidRDefault="00CD76BA" w:rsidP="00AA34BF">
      <w:r>
        <w:rPr>
          <w:rStyle w:val="Marquedecommentaire"/>
        </w:rPr>
        <w:annotationRef/>
      </w:r>
      <w:r>
        <w:rPr>
          <w:sz w:val="20"/>
          <w:szCs w:val="20"/>
        </w:rPr>
        <w:t>A du mal à se concrétiser pour le travail social</w:t>
      </w:r>
    </w:p>
  </w:comment>
  <w:comment w:id="1" w:author="Roland Giraud" w:date="2022-01-27T13:21:00Z" w:initials="RG">
    <w:p w14:paraId="7427789E" w14:textId="77777777" w:rsidR="00C27754" w:rsidRDefault="00C27754" w:rsidP="00AC7BD2">
      <w:r>
        <w:rPr>
          <w:rStyle w:val="Marquedecommentaire"/>
        </w:rPr>
        <w:annotationRef/>
      </w:r>
      <w:r>
        <w:rPr>
          <w:sz w:val="20"/>
          <w:szCs w:val="20"/>
        </w:rPr>
        <w:t>Seraient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DF78C0" w15:done="0"/>
  <w15:commentEx w15:paraId="742778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9FE" w16cex:dateUtc="2022-01-27T12:17:00Z"/>
  <w16cex:commentExtensible w16cex:durableId="259D1ABF" w16cex:dateUtc="2022-01-27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DF78C0" w16cid:durableId="259D19FE"/>
  <w16cid:commentId w16cid:paraId="7427789E" w16cid:durableId="259D1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25B5" w14:textId="77777777" w:rsidR="00A9739F" w:rsidRDefault="00A9739F" w:rsidP="00490FB1">
      <w:pPr>
        <w:spacing w:after="0" w:line="240" w:lineRule="auto"/>
      </w:pPr>
      <w:r>
        <w:separator/>
      </w:r>
    </w:p>
  </w:endnote>
  <w:endnote w:type="continuationSeparator" w:id="0">
    <w:p w14:paraId="5647CD2E" w14:textId="77777777" w:rsidR="00A9739F" w:rsidRDefault="00A9739F"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95A" w14:textId="77777777" w:rsidR="002C344F" w:rsidRDefault="002C34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7CC8" w14:textId="77777777" w:rsidR="002C344F" w:rsidRDefault="002C34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86E3" w14:textId="77777777" w:rsidR="002C344F" w:rsidRDefault="002C34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BAD3" w14:textId="77777777" w:rsidR="00A9739F" w:rsidRDefault="00A9739F" w:rsidP="00490FB1">
      <w:pPr>
        <w:spacing w:after="0" w:line="240" w:lineRule="auto"/>
      </w:pPr>
      <w:r>
        <w:separator/>
      </w:r>
    </w:p>
  </w:footnote>
  <w:footnote w:type="continuationSeparator" w:id="0">
    <w:p w14:paraId="488AD238" w14:textId="77777777" w:rsidR="00A9739F" w:rsidRDefault="00A9739F" w:rsidP="00490FB1">
      <w:pPr>
        <w:spacing w:after="0" w:line="240" w:lineRule="auto"/>
      </w:pPr>
      <w:r>
        <w:continuationSeparator/>
      </w:r>
    </w:p>
  </w:footnote>
  <w:footnote w:id="1">
    <w:p w14:paraId="523D0759" w14:textId="77777777" w:rsidR="00104BFC" w:rsidRPr="00104BFC" w:rsidRDefault="00104BFC" w:rsidP="00104BFC">
      <w:pPr>
        <w:pStyle w:val="Notedebasdepage"/>
        <w:jc w:val="both"/>
        <w:rPr>
          <w:rFonts w:ascii="Times New Roman" w:hAnsi="Times New Roman" w:cs="Times New Roman"/>
        </w:rPr>
      </w:pPr>
      <w:r w:rsidRPr="00104BFC">
        <w:rPr>
          <w:rStyle w:val="Appelnotedebasdep"/>
          <w:rFonts w:ascii="Times New Roman" w:hAnsi="Times New Roman" w:cs="Times New Roman"/>
        </w:rPr>
        <w:footnoteRef/>
      </w:r>
      <w:r w:rsidRPr="00104BFC">
        <w:rPr>
          <w:rFonts w:ascii="Times New Roman" w:hAnsi="Times New Roman" w:cs="Times New Roman"/>
        </w:rPr>
        <w:t xml:space="preserve"> La lutte contre la Pauvreté au temps du coronavirus : constats sur les e</w:t>
      </w:r>
      <w:r w:rsidRPr="00104BFC">
        <w:rPr>
          <w:rFonts w:ascii="Times New Roman" w:hAnsi="Times New Roman" w:cs="Times New Roman"/>
        </w:rPr>
        <w:softHyphen/>
        <w:t xml:space="preserve">ffets de la crise sur la pauvreté et points de vigilance du comité d’évaluation de la Stratégie nationale de prévention et de lutte contre la pauvreté </w:t>
      </w:r>
      <w:hyperlink r:id="rId1" w:history="1">
        <w:r w:rsidRPr="00104BFC">
          <w:rPr>
            <w:rStyle w:val="Lienhypertexte"/>
            <w:rFonts w:ascii="Times New Roman" w:hAnsi="Times New Roman" w:cs="Times New Roman"/>
          </w:rPr>
          <w:t>https://www.strategie.gouv.fr/publications/lutte-contre-pauvrete-temps-coronavirus-constats-effets-de-crise-pauvrete-points-de</w:t>
        </w:r>
      </w:hyperlink>
    </w:p>
  </w:footnote>
  <w:footnote w:id="2">
    <w:p w14:paraId="0A4FC97C" w14:textId="77777777" w:rsidR="00DE2CDD" w:rsidRPr="00DE2CDD" w:rsidRDefault="00DE2CDD" w:rsidP="00DE2CDD">
      <w:pPr>
        <w:pStyle w:val="Notedebasdepage"/>
        <w:jc w:val="both"/>
        <w:rPr>
          <w:rFonts w:ascii="Times New Roman" w:hAnsi="Times New Roman" w:cs="Times New Roman"/>
        </w:rPr>
      </w:pPr>
      <w:r w:rsidRPr="00DE2CDD">
        <w:rPr>
          <w:rStyle w:val="Appelnotedebasdep"/>
          <w:rFonts w:ascii="Times New Roman" w:hAnsi="Times New Roman" w:cs="Times New Roman"/>
        </w:rPr>
        <w:footnoteRef/>
      </w:r>
      <w:r w:rsidRPr="00DE2CDD">
        <w:rPr>
          <w:rFonts w:ascii="Times New Roman" w:hAnsi="Times New Roman" w:cs="Times New Roman"/>
        </w:rPr>
        <w:t xml:space="preserve"> Estimation avancée du taux de pauvreté monétaire et des indicateurs d’inégalités, INSEE, 3 novembre 2021, https://www.insee.fr/fr/statistiques/5762455</w:t>
      </w:r>
    </w:p>
  </w:footnote>
  <w:footnote w:id="3">
    <w:p w14:paraId="31F15FF5" w14:textId="77777777" w:rsidR="00163642" w:rsidRPr="00163642" w:rsidRDefault="00163642" w:rsidP="00163642">
      <w:pPr>
        <w:pStyle w:val="Notedebasdepage"/>
        <w:jc w:val="both"/>
        <w:rPr>
          <w:rFonts w:ascii="Times New Roman" w:hAnsi="Times New Roman" w:cs="Times New Roman"/>
        </w:rPr>
      </w:pPr>
      <w:r w:rsidRPr="00163642">
        <w:rPr>
          <w:rStyle w:val="Appelnotedebasdep"/>
          <w:rFonts w:ascii="Times New Roman" w:hAnsi="Times New Roman" w:cs="Times New Roman"/>
        </w:rPr>
        <w:footnoteRef/>
      </w:r>
      <w:hyperlink r:id="rId2" w:history="1">
        <w:r w:rsidRPr="00163642">
          <w:rPr>
            <w:rStyle w:val="Lienhypertexte"/>
            <w:rFonts w:ascii="Times New Roman" w:hAnsi="Times New Roman" w:cs="Times New Roman"/>
          </w:rPr>
          <w:t>https://www.conseil-etat.fr/ressources/etudes-publications/rapports-etudes/etudes/conditions-de-ressources-dans-les-politiques-sociales-15-propositions-pour-simplifier-et-harmoniser-leur-prise-en-compte</w:t>
        </w:r>
      </w:hyperlink>
      <w:r w:rsidRPr="00163642">
        <w:rPr>
          <w:rFonts w:ascii="Times New Roman" w:hAnsi="Times New Roman" w:cs="Times New Roman"/>
        </w:rPr>
        <w:t xml:space="preserve"> </w:t>
      </w:r>
    </w:p>
  </w:footnote>
  <w:footnote w:id="4">
    <w:p w14:paraId="43B547F3" w14:textId="0F5D5F59" w:rsidR="002556F8" w:rsidRPr="00966DC6" w:rsidRDefault="002556F8" w:rsidP="00966DC6">
      <w:pPr>
        <w:pStyle w:val="Notedebasdepage"/>
        <w:jc w:val="both"/>
        <w:rPr>
          <w:rFonts w:ascii="Times New Roman" w:hAnsi="Times New Roman" w:cs="Times New Roman"/>
        </w:rPr>
      </w:pPr>
      <w:r w:rsidRPr="00966DC6">
        <w:rPr>
          <w:rStyle w:val="Appelnotedebasdep"/>
          <w:rFonts w:ascii="Times New Roman" w:hAnsi="Times New Roman" w:cs="Times New Roman"/>
        </w:rPr>
        <w:footnoteRef/>
      </w:r>
      <w:r w:rsidRPr="00966DC6">
        <w:rPr>
          <w:rFonts w:ascii="Times New Roman" w:hAnsi="Times New Roman" w:cs="Times New Roman"/>
        </w:rPr>
        <w:t xml:space="preserve"> </w:t>
      </w:r>
      <w:hyperlink r:id="rId3" w:history="1">
        <w:r w:rsidR="00966DC6" w:rsidRPr="00966DC6">
          <w:rPr>
            <w:rStyle w:val="Lienhypertexte"/>
            <w:rFonts w:ascii="Times New Roman" w:hAnsi="Times New Roman" w:cs="Times New Roman"/>
          </w:rPr>
          <w:t>https://www.andass.fr/manifeste-pour-une-action-publique-sobre-et-de-qualite/</w:t>
        </w:r>
      </w:hyperlink>
    </w:p>
    <w:p w14:paraId="312CCF42" w14:textId="77777777" w:rsidR="00966DC6" w:rsidRDefault="00966DC6">
      <w:pPr>
        <w:pStyle w:val="Notedebasdepage"/>
      </w:pPr>
    </w:p>
  </w:footnote>
  <w:footnote w:id="5">
    <w:p w14:paraId="47E1FECB" w14:textId="5911BEF5" w:rsidR="00883EAE" w:rsidRPr="00883EAE" w:rsidRDefault="00883EAE" w:rsidP="00883EAE">
      <w:pPr>
        <w:pStyle w:val="Notedebasdepage"/>
        <w:jc w:val="both"/>
        <w:rPr>
          <w:rFonts w:ascii="Times New Roman" w:hAnsi="Times New Roman" w:cs="Times New Roman"/>
        </w:rPr>
      </w:pPr>
      <w:r w:rsidRPr="00883EAE">
        <w:rPr>
          <w:rStyle w:val="Appelnotedebasdep"/>
          <w:rFonts w:ascii="Times New Roman" w:hAnsi="Times New Roman" w:cs="Times New Roman"/>
        </w:rPr>
        <w:footnoteRef/>
      </w:r>
      <w:r w:rsidRPr="00883EAE">
        <w:rPr>
          <w:rFonts w:ascii="Times New Roman" w:hAnsi="Times New Roman" w:cs="Times New Roman"/>
        </w:rPr>
        <w:t xml:space="preserve"> Dans la perspective des Etats généraux du travail social, cinq élèves administrateurs territoriaux de la promotion Simone de Beauvoir de l’Institut national des études territoriales (INET) ont ainsi été sollicités pour réaliser une étude contribuant à la réflexion relative à l’évolution du travail social et à la production d’un référentiel du travail social dans les collectivités territoriales.</w:t>
      </w:r>
      <w:r w:rsidRPr="00883EAE">
        <w:rPr>
          <w:rFonts w:ascii="Arial" w:hAnsi="Arial" w:cs="Arial"/>
          <w:color w:val="666666"/>
          <w:sz w:val="18"/>
          <w:szCs w:val="18"/>
          <w:shd w:val="clear" w:color="auto" w:fill="FFFFFF"/>
        </w:rPr>
        <w:t xml:space="preserve"> </w:t>
      </w:r>
      <w:r>
        <w:rPr>
          <w:rFonts w:ascii="Times New Roman" w:hAnsi="Times New Roman" w:cs="Times New Roman"/>
        </w:rPr>
        <w:t xml:space="preserve">Cette </w:t>
      </w:r>
      <w:r w:rsidRPr="00883EAE">
        <w:rPr>
          <w:rFonts w:ascii="Times New Roman" w:hAnsi="Times New Roman" w:cs="Times New Roman"/>
        </w:rPr>
        <w:t xml:space="preserve">étude est le résultat d’une commande associant le </w:t>
      </w:r>
      <w:r w:rsidR="008F3079">
        <w:rPr>
          <w:rFonts w:ascii="Times New Roman" w:hAnsi="Times New Roman" w:cs="Times New Roman"/>
        </w:rPr>
        <w:t>C</w:t>
      </w:r>
      <w:r w:rsidRPr="00883EAE">
        <w:rPr>
          <w:rFonts w:ascii="Times New Roman" w:hAnsi="Times New Roman" w:cs="Times New Roman"/>
        </w:rPr>
        <w:t>NFPT</w:t>
      </w:r>
      <w:r w:rsidR="008F3079">
        <w:rPr>
          <w:rFonts w:ascii="Times New Roman" w:hAnsi="Times New Roman" w:cs="Times New Roman"/>
        </w:rPr>
        <w:t>, l’INSET, l’ANDASS, l’ADGGC</w:t>
      </w:r>
      <w:r w:rsidRPr="00883EAE">
        <w:rPr>
          <w:rFonts w:ascii="Times New Roman" w:hAnsi="Times New Roman" w:cs="Times New Roman"/>
        </w:rPr>
        <w:t xml:space="preserve"> et </w:t>
      </w:r>
      <w:r w:rsidR="008F3079">
        <w:rPr>
          <w:rFonts w:ascii="Times New Roman" w:hAnsi="Times New Roman" w:cs="Times New Roman"/>
        </w:rPr>
        <w:t>l’ANCCAS.</w:t>
      </w:r>
    </w:p>
  </w:footnote>
  <w:footnote w:id="6">
    <w:p w14:paraId="72D67CBE" w14:textId="292B5117" w:rsidR="00CE6ACD" w:rsidRPr="00CE6ACD" w:rsidRDefault="000006F4" w:rsidP="00CE6ACD">
      <w:pPr>
        <w:pStyle w:val="Notedebasdepage"/>
        <w:jc w:val="both"/>
      </w:pPr>
      <w:r>
        <w:rPr>
          <w:rStyle w:val="Appelnotedebasdep"/>
        </w:rPr>
        <w:footnoteRef/>
      </w:r>
      <w:r>
        <w:t xml:space="preserve"> </w:t>
      </w:r>
      <w:r w:rsidR="00CE6ACD" w:rsidRPr="00CE6ACD">
        <w:rPr>
          <w:rFonts w:ascii="Times New Roman" w:hAnsi="Times New Roman" w:cs="Times New Roman"/>
        </w:rPr>
        <w:t>A titre d’illustration, l’échelle des rémunérations dans la fonction publique est la suivante</w:t>
      </w:r>
      <w:r w:rsidR="00CE6ACD">
        <w:rPr>
          <w:rFonts w:ascii="Times New Roman" w:hAnsi="Times New Roman" w:cs="Times New Roman"/>
        </w:rPr>
        <w:t> :</w:t>
      </w:r>
    </w:p>
    <w:p w14:paraId="297C8C59" w14:textId="78DA788F" w:rsidR="00CE6ACD" w:rsidRPr="00CE6ACD" w:rsidRDefault="00CE6ACD" w:rsidP="00CE6ACD">
      <w:pPr>
        <w:pStyle w:val="Notedebasdepage"/>
        <w:jc w:val="both"/>
        <w:rPr>
          <w:rFonts w:ascii="Times New Roman" w:hAnsi="Times New Roman" w:cs="Times New Roman"/>
        </w:rPr>
      </w:pPr>
      <w:r w:rsidRPr="00CE6ACD">
        <w:rPr>
          <w:rFonts w:ascii="Times New Roman" w:hAnsi="Times New Roman" w:cs="Times New Roman"/>
        </w:rPr>
        <w:t xml:space="preserve">- un assistant socio-éducatif (assistant social, éducateur spécialisé, CESF) commence sa carrière avec un salaire brut de 1875€, soit un salaire net de </w:t>
      </w:r>
      <w:r w:rsidRPr="00CE6ACD">
        <w:rPr>
          <w:rFonts w:ascii="Times New Roman" w:hAnsi="Times New Roman" w:cs="Times New Roman"/>
          <w:b/>
          <w:bCs/>
        </w:rPr>
        <w:t>1476€.</w:t>
      </w:r>
      <w:r w:rsidRPr="00CE6ACD">
        <w:rPr>
          <w:rFonts w:ascii="Times New Roman" w:hAnsi="Times New Roman" w:cs="Times New Roman"/>
        </w:rPr>
        <w:t xml:space="preserve"> Quand il arrive au dernier échelon de cette catégorie, il perçoit 2774€ brut, soit un salaire net de </w:t>
      </w:r>
      <w:r w:rsidRPr="00CE6ACD">
        <w:rPr>
          <w:rFonts w:ascii="Times New Roman" w:hAnsi="Times New Roman" w:cs="Times New Roman"/>
          <w:b/>
          <w:bCs/>
        </w:rPr>
        <w:t>2241,54€.</w:t>
      </w:r>
      <w:r w:rsidRPr="00CE6ACD">
        <w:rPr>
          <w:rFonts w:ascii="Times New Roman" w:hAnsi="Times New Roman" w:cs="Times New Roman"/>
        </w:rPr>
        <w:t xml:space="preserve"> Ceci hors prime, NBI ou autre. Les salaires de la fonction publique sont globalement les plus bas, les rémunérations sont légèrement (ou très) supérieures dans les associations et structures privées. Il faut alors prendre en compte les différents accords et conventions collectives</w:t>
      </w:r>
    </w:p>
    <w:p w14:paraId="6A8D5623" w14:textId="064561A1" w:rsidR="00CE6ACD" w:rsidRPr="00CE6ACD" w:rsidRDefault="00CE6ACD" w:rsidP="00CE6ACD">
      <w:pPr>
        <w:pStyle w:val="Notedebasdepage"/>
        <w:jc w:val="both"/>
        <w:rPr>
          <w:rFonts w:ascii="Times New Roman" w:hAnsi="Times New Roman" w:cs="Times New Roman"/>
        </w:rPr>
      </w:pPr>
      <w:r w:rsidRPr="00CE6ACD">
        <w:rPr>
          <w:rFonts w:ascii="Times New Roman" w:hAnsi="Times New Roman" w:cs="Times New Roman"/>
        </w:rPr>
        <w:t xml:space="preserve">- un conseiller socio-éducatif hors classe (soit le plus haut niveau dans la filière médico-sociale) perçoit 2825€ brut au 1° échelon, soit </w:t>
      </w:r>
      <w:r w:rsidRPr="00CE6ACD">
        <w:rPr>
          <w:rFonts w:ascii="Times New Roman" w:hAnsi="Times New Roman" w:cs="Times New Roman"/>
          <w:b/>
          <w:bCs/>
        </w:rPr>
        <w:t>2283€ net</w:t>
      </w:r>
      <w:r w:rsidRPr="00CE6ACD">
        <w:rPr>
          <w:rFonts w:ascii="Times New Roman" w:hAnsi="Times New Roman" w:cs="Times New Roman"/>
        </w:rPr>
        <w:t xml:space="preserve">, et au dernier échelon, il percevra 3580€ brut, </w:t>
      </w:r>
      <w:r w:rsidRPr="00CE6ACD">
        <w:rPr>
          <w:rFonts w:ascii="Times New Roman" w:hAnsi="Times New Roman" w:cs="Times New Roman"/>
          <w:b/>
          <w:bCs/>
        </w:rPr>
        <w:t xml:space="preserve">soit 2892€ net. </w:t>
      </w:r>
      <w:r w:rsidRPr="00CE6ACD">
        <w:rPr>
          <w:rFonts w:ascii="Times New Roman" w:hAnsi="Times New Roman" w:cs="Times New Roman"/>
        </w:rPr>
        <w:t>(Hors primes, NBI et autres)</w:t>
      </w:r>
    </w:p>
    <w:p w14:paraId="704FF25E" w14:textId="77777777" w:rsidR="00CE6ACD" w:rsidRPr="00CE6ACD" w:rsidRDefault="00CE6ACD" w:rsidP="00CE6ACD">
      <w:pPr>
        <w:pStyle w:val="Notedebasdepage"/>
        <w:jc w:val="both"/>
        <w:rPr>
          <w:color w:val="0070C0"/>
        </w:rPr>
      </w:pPr>
    </w:p>
    <w:p w14:paraId="18DDCF74" w14:textId="00EF2E79" w:rsidR="000006F4" w:rsidRDefault="000006F4">
      <w:pPr>
        <w:pStyle w:val="Notedebasdepage"/>
      </w:pPr>
    </w:p>
  </w:footnote>
  <w:footnote w:id="7">
    <w:p w14:paraId="4121FFA4" w14:textId="447B18FE" w:rsidR="00011F72" w:rsidRPr="00CE6ACD" w:rsidRDefault="00011F72" w:rsidP="00CE6ACD">
      <w:pPr>
        <w:pStyle w:val="Notedebasdepage"/>
        <w:jc w:val="both"/>
        <w:rPr>
          <w:rFonts w:ascii="Times New Roman" w:hAnsi="Times New Roman" w:cs="Times New Roman"/>
        </w:rPr>
      </w:pPr>
      <w:r w:rsidRPr="00CE6ACD">
        <w:rPr>
          <w:rStyle w:val="Appelnotedebasdep"/>
          <w:rFonts w:ascii="Times New Roman" w:hAnsi="Times New Roman" w:cs="Times New Roman"/>
        </w:rPr>
        <w:footnoteRef/>
      </w:r>
      <w:r w:rsidRPr="00CE6ACD">
        <w:rPr>
          <w:rFonts w:ascii="Times New Roman" w:hAnsi="Times New Roman" w:cs="Times New Roman"/>
        </w:rPr>
        <w:t xml:space="preserve">  Rapport de la Mission La parole aux enfants, « À hauteur d’enfants », Gaut</w:t>
      </w:r>
      <w:r w:rsidR="00CE6ACD">
        <w:rPr>
          <w:rFonts w:ascii="Times New Roman" w:hAnsi="Times New Roman" w:cs="Times New Roman"/>
        </w:rPr>
        <w:t>ier Arnaud Melchior, décembre 2021.</w:t>
      </w:r>
    </w:p>
  </w:footnote>
  <w:footnote w:id="8">
    <w:p w14:paraId="536518BC" w14:textId="31C15700" w:rsidR="009F78FB" w:rsidRPr="00C06204" w:rsidRDefault="009F78FB" w:rsidP="00C06204">
      <w:pPr>
        <w:pStyle w:val="Notedebasdepage"/>
        <w:jc w:val="both"/>
        <w:rPr>
          <w:rFonts w:ascii="Times New Roman" w:hAnsi="Times New Roman" w:cs="Times New Roman"/>
          <w:color w:val="0070C0"/>
        </w:rPr>
      </w:pPr>
      <w:r w:rsidRPr="00C06204">
        <w:rPr>
          <w:rStyle w:val="Appelnotedebasdep"/>
          <w:rFonts w:ascii="Times New Roman" w:hAnsi="Times New Roman" w:cs="Times New Roman"/>
        </w:rPr>
        <w:footnoteRef/>
      </w:r>
      <w:r w:rsidRPr="00C06204">
        <w:rPr>
          <w:rFonts w:ascii="Times New Roman" w:hAnsi="Times New Roman" w:cs="Times New Roman"/>
        </w:rPr>
        <w:t xml:space="preserve"> </w:t>
      </w:r>
      <w:r w:rsidR="00C06204">
        <w:rPr>
          <w:rFonts w:ascii="Times New Roman" w:hAnsi="Times New Roman" w:cs="Times New Roman"/>
        </w:rPr>
        <w:t>« </w:t>
      </w:r>
      <w:r w:rsidR="00C06204" w:rsidRPr="00C06204">
        <w:rPr>
          <w:rFonts w:ascii="Times New Roman" w:hAnsi="Times New Roman" w:cs="Times New Roman"/>
        </w:rPr>
        <w:t>Polyvalence de secteur : un modèle qui perdure en s’adaptant ?</w:t>
      </w:r>
      <w:r w:rsidR="00C06204">
        <w:rPr>
          <w:rFonts w:ascii="Times New Roman" w:hAnsi="Times New Roman" w:cs="Times New Roman"/>
        </w:rPr>
        <w:t xml:space="preserve"> », </w:t>
      </w:r>
      <w:r w:rsidR="00C06204" w:rsidRPr="00C06204">
        <w:rPr>
          <w:rFonts w:ascii="Times New Roman" w:hAnsi="Times New Roman" w:cs="Times New Roman"/>
        </w:rPr>
        <w:t xml:space="preserve">Lucienne </w:t>
      </w:r>
      <w:proofErr w:type="spellStart"/>
      <w:r w:rsidR="00C06204" w:rsidRPr="00C06204">
        <w:rPr>
          <w:rFonts w:ascii="Times New Roman" w:hAnsi="Times New Roman" w:cs="Times New Roman"/>
        </w:rPr>
        <w:t>Chibrac</w:t>
      </w:r>
      <w:proofErr w:type="spellEnd"/>
      <w:r w:rsidR="00C06204" w:rsidRPr="00C06204">
        <w:rPr>
          <w:rFonts w:ascii="Times New Roman" w:hAnsi="Times New Roman" w:cs="Times New Roman"/>
        </w:rPr>
        <w:t>, GREHSS, Marie Paule Cols, ANDASS</w:t>
      </w:r>
      <w:r w:rsidR="00C06204">
        <w:rPr>
          <w:rFonts w:ascii="Times New Roman" w:hAnsi="Times New Roman" w:cs="Times New Roman"/>
        </w:rPr>
        <w:t>, décembre 2018</w:t>
      </w:r>
    </w:p>
  </w:footnote>
  <w:footnote w:id="9">
    <w:p w14:paraId="13FAFF8A" w14:textId="77777777" w:rsidR="00522C97" w:rsidRPr="00522C97" w:rsidRDefault="00522C97" w:rsidP="00522C97">
      <w:pPr>
        <w:pStyle w:val="Notedebasdepage"/>
        <w:jc w:val="both"/>
        <w:rPr>
          <w:rFonts w:ascii="Times New Roman" w:hAnsi="Times New Roman" w:cs="Times New Roman"/>
        </w:rPr>
      </w:pPr>
      <w:r>
        <w:rPr>
          <w:rStyle w:val="Appelnotedebasdep"/>
        </w:rPr>
        <w:footnoteRef/>
      </w:r>
      <w:r>
        <w:t xml:space="preserve"> </w:t>
      </w:r>
      <w:hyperlink r:id="rId4" w:history="1">
        <w:r w:rsidRPr="00522C97">
          <w:rPr>
            <w:rStyle w:val="Lienhypertexte"/>
            <w:rFonts w:ascii="Times New Roman" w:hAnsi="Times New Roman" w:cs="Times New Roman"/>
          </w:rPr>
          <w:t>https://www.lemediasocial.fr/handicap-un-collectif-pour-deployer-l-assistance-au-projet-de-vie_UFC3iT</w:t>
        </w:r>
      </w:hyperlink>
    </w:p>
  </w:footnote>
  <w:footnote w:id="10">
    <w:p w14:paraId="672F2B8A" w14:textId="47E43AC9" w:rsidR="00AD1731" w:rsidRDefault="00AD1731" w:rsidP="00AD1731">
      <w:pPr>
        <w:pStyle w:val="Notedebasdepage"/>
        <w:jc w:val="both"/>
      </w:pPr>
      <w:r>
        <w:rPr>
          <w:rStyle w:val="Appelnotedebasdep"/>
        </w:rPr>
        <w:footnoteRef/>
      </w:r>
      <w:r>
        <w:t xml:space="preserve"> </w:t>
      </w:r>
      <w:r w:rsidRPr="00AD1731">
        <w:rPr>
          <w:rFonts w:ascii="Times New Roman" w:hAnsi="Times New Roman" w:cs="Times New Roman"/>
        </w:rPr>
        <w:t>Hugues Lagrange, Le Déni des cultures, collection Points, Seuil, 2013</w:t>
      </w:r>
    </w:p>
  </w:footnote>
  <w:footnote w:id="11">
    <w:p w14:paraId="2D3B8119" w14:textId="3361061C" w:rsidR="00490FB1" w:rsidRPr="009F1207" w:rsidRDefault="00490FB1" w:rsidP="009F1207">
      <w:pPr>
        <w:pStyle w:val="Notedebasdepage"/>
        <w:jc w:val="both"/>
        <w:rPr>
          <w:rFonts w:ascii="Times New Roman" w:hAnsi="Times New Roman" w:cs="Times New Roman"/>
        </w:rPr>
      </w:pPr>
      <w:r w:rsidRPr="00522C97">
        <w:rPr>
          <w:rStyle w:val="Appelnotedebasdep"/>
          <w:rFonts w:ascii="Times New Roman" w:hAnsi="Times New Roman" w:cs="Times New Roman"/>
        </w:rPr>
        <w:footnoteRef/>
      </w:r>
      <w:r w:rsidRPr="00522C97">
        <w:rPr>
          <w:rFonts w:ascii="Times New Roman" w:hAnsi="Times New Roman" w:cs="Times New Roman"/>
        </w:rPr>
        <w:t xml:space="preserve"> </w:t>
      </w:r>
      <w:hyperlink r:id="rId5" w:history="1">
        <w:r w:rsidRPr="00522C97">
          <w:rPr>
            <w:rStyle w:val="Lienhypertexte"/>
            <w:rFonts w:ascii="Times New Roman" w:hAnsi="Times New Roman" w:cs="Times New Roman"/>
          </w:rPr>
          <w:t>https://www.telos-eu.com/fr/societe/europe-sociale-et-si-on-soccupait-des-sans-abri.html</w:t>
        </w:r>
      </w:hyperlink>
    </w:p>
  </w:footnote>
  <w:footnote w:id="12">
    <w:p w14:paraId="5ED477DE" w14:textId="77777777" w:rsidR="004F44F8" w:rsidRPr="004F44F8" w:rsidRDefault="004F44F8" w:rsidP="004F44F8">
      <w:pPr>
        <w:pStyle w:val="Notedebasdepage"/>
        <w:jc w:val="both"/>
        <w:rPr>
          <w:rFonts w:ascii="Times New Roman" w:hAnsi="Times New Roman" w:cs="Times New Roman"/>
        </w:rPr>
      </w:pPr>
      <w:r w:rsidRPr="004F44F8">
        <w:rPr>
          <w:rStyle w:val="Appelnotedebasdep"/>
          <w:rFonts w:ascii="Times New Roman" w:hAnsi="Times New Roman" w:cs="Times New Roman"/>
        </w:rPr>
        <w:footnoteRef/>
      </w:r>
      <w:r w:rsidRPr="004F44F8">
        <w:rPr>
          <w:rFonts w:ascii="Times New Roman" w:hAnsi="Times New Roman" w:cs="Times New Roman"/>
        </w:rPr>
        <w:t xml:space="preserve"> </w:t>
      </w:r>
      <w:hyperlink r:id="rId6" w:history="1">
        <w:r w:rsidRPr="004F44F8">
          <w:rPr>
            <w:rStyle w:val="Lienhypertexte"/>
            <w:rFonts w:ascii="Times New Roman" w:hAnsi="Times New Roman" w:cs="Times New Roman"/>
          </w:rPr>
          <w:t>https://www.strategie.gouv.fr/publications/cartographie-competences-metiers</w:t>
        </w:r>
      </w:hyperlink>
    </w:p>
  </w:footnote>
  <w:footnote w:id="13">
    <w:p w14:paraId="4339A385" w14:textId="44EF0AEF" w:rsidR="008A061E" w:rsidRPr="00B05284" w:rsidRDefault="008A061E" w:rsidP="00B05284">
      <w:pPr>
        <w:pStyle w:val="Notedebasdepage"/>
        <w:jc w:val="both"/>
        <w:rPr>
          <w:rFonts w:ascii="Times New Roman" w:hAnsi="Times New Roman" w:cs="Times New Roman"/>
        </w:rPr>
      </w:pPr>
      <w:r w:rsidRPr="00B05284">
        <w:rPr>
          <w:rStyle w:val="Appelnotedebasdep"/>
          <w:rFonts w:ascii="Times New Roman" w:hAnsi="Times New Roman" w:cs="Times New Roman"/>
        </w:rPr>
        <w:footnoteRef/>
      </w:r>
      <w:r w:rsidRPr="00B05284">
        <w:rPr>
          <w:rFonts w:ascii="Times New Roman" w:hAnsi="Times New Roman" w:cs="Times New Roman"/>
        </w:rPr>
        <w:t xml:space="preserve"> Les travaux menés par le Départeme</w:t>
      </w:r>
      <w:r w:rsidR="00B05284">
        <w:rPr>
          <w:rFonts w:ascii="Times New Roman" w:hAnsi="Times New Roman" w:cs="Times New Roman"/>
        </w:rPr>
        <w:t xml:space="preserve">nt du Gers en 2019 et </w:t>
      </w:r>
      <w:r w:rsidRPr="00B05284">
        <w:rPr>
          <w:rFonts w:ascii="Times New Roman" w:hAnsi="Times New Roman" w:cs="Times New Roman"/>
        </w:rPr>
        <w:t>intitulé</w:t>
      </w:r>
      <w:r w:rsidR="00B05284">
        <w:rPr>
          <w:rFonts w:ascii="Times New Roman" w:hAnsi="Times New Roman" w:cs="Times New Roman"/>
        </w:rPr>
        <w:t>s</w:t>
      </w:r>
      <w:r w:rsidRPr="00B05284">
        <w:rPr>
          <w:rFonts w:ascii="Times New Roman" w:hAnsi="Times New Roman" w:cs="Times New Roman"/>
        </w:rPr>
        <w:t xml:space="preserve"> « </w:t>
      </w:r>
      <w:r w:rsidRPr="00B05284">
        <w:rPr>
          <w:rFonts w:ascii="Times New Roman" w:hAnsi="Times New Roman" w:cs="Times New Roman"/>
          <w:i/>
        </w:rPr>
        <w:t>Etre au RSA dans le Gers</w:t>
      </w:r>
      <w:r w:rsidRPr="00B05284">
        <w:rPr>
          <w:rFonts w:ascii="Times New Roman" w:hAnsi="Times New Roman" w:cs="Times New Roman"/>
        </w:rPr>
        <w:t> »</w:t>
      </w:r>
      <w:r w:rsidR="00B05284">
        <w:rPr>
          <w:rFonts w:ascii="Times New Roman" w:hAnsi="Times New Roman" w:cs="Times New Roman"/>
        </w:rPr>
        <w:t xml:space="preserve"> de</w:t>
      </w:r>
      <w:r w:rsidR="00B05284" w:rsidRPr="00B05284">
        <w:t xml:space="preserve"> </w:t>
      </w:r>
      <w:r w:rsidR="00B05284" w:rsidRPr="00B05284">
        <w:rPr>
          <w:rFonts w:ascii="Times New Roman" w:hAnsi="Times New Roman" w:cs="Times New Roman"/>
        </w:rPr>
        <w:t xml:space="preserve">François-Xavier </w:t>
      </w:r>
      <w:proofErr w:type="spellStart"/>
      <w:r w:rsidR="00B05284" w:rsidRPr="00B05284">
        <w:rPr>
          <w:rFonts w:ascii="Times New Roman" w:hAnsi="Times New Roman" w:cs="Times New Roman"/>
        </w:rPr>
        <w:t>Merrien</w:t>
      </w:r>
      <w:proofErr w:type="spellEnd"/>
      <w:r w:rsidR="00B05284" w:rsidRPr="00B05284">
        <w:rPr>
          <w:rFonts w:ascii="Times New Roman" w:hAnsi="Times New Roman" w:cs="Times New Roman"/>
        </w:rPr>
        <w:t xml:space="preserve"> fourniss</w:t>
      </w:r>
      <w:r w:rsidR="00B05284">
        <w:rPr>
          <w:rFonts w:ascii="Times New Roman" w:hAnsi="Times New Roman" w:cs="Times New Roman"/>
        </w:rPr>
        <w:t xml:space="preserve">ent </w:t>
      </w:r>
      <w:r w:rsidR="00B05284" w:rsidRPr="00B05284">
        <w:rPr>
          <w:rFonts w:ascii="Times New Roman" w:hAnsi="Times New Roman" w:cs="Times New Roman"/>
        </w:rPr>
        <w:t>à ce titre une illustration de cette approche visant à se mettre à la place des bénéficiaires et des publics accompagnés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E12" w14:textId="77777777" w:rsidR="002C344F" w:rsidRDefault="006C35F4">
    <w:pPr>
      <w:pStyle w:val="En-tte"/>
    </w:pPr>
    <w:r>
      <w:rPr>
        <w:noProof/>
      </w:rPr>
    </w:r>
    <w:r w:rsidR="006C35F4">
      <w:rPr>
        <w:noProof/>
      </w:rPr>
      <w:pict w14:anchorId="3FAE1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8219" o:spid="_x0000_s1026" type="#_x0000_t136" style="position:absolute;margin-left:0;margin-top:0;width:548.1pt;height:91.35pt;rotation:315;z-index:-251657216;mso-position-horizontal:center;mso-position-horizontal-relative:margin;mso-position-vertical:center;mso-position-vertical-relative:margin" o:allowincell="f" fillcolor="#44546a [3215]"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7771" w14:textId="77777777" w:rsidR="002C344F" w:rsidRDefault="006C35F4">
    <w:pPr>
      <w:pStyle w:val="En-tte"/>
    </w:pPr>
    <w:r>
      <w:rPr>
        <w:noProof/>
      </w:rPr>
    </w:r>
    <w:r w:rsidR="006C35F4">
      <w:rPr>
        <w:noProof/>
      </w:rPr>
      <w:pict w14:anchorId="1420A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8220" o:spid="_x0000_s1027" type="#_x0000_t136" style="position:absolute;margin-left:0;margin-top:0;width:548.1pt;height:91.35pt;rotation:315;z-index:-251656192;mso-position-horizontal:center;mso-position-horizontal-relative:margin;mso-position-vertical:center;mso-position-vertical-relative:margin" o:allowincell="f" fillcolor="#44546a [3215]"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40C" w14:textId="77777777" w:rsidR="002C344F" w:rsidRDefault="006C35F4">
    <w:pPr>
      <w:pStyle w:val="En-tte"/>
    </w:pPr>
    <w:r>
      <w:rPr>
        <w:noProof/>
      </w:rPr>
    </w:r>
    <w:r w:rsidR="006C35F4">
      <w:rPr>
        <w:noProof/>
      </w:rPr>
      <w:pict w14:anchorId="42CD1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8218" o:spid="_x0000_s1025" type="#_x0000_t136" style="position:absolute;margin-left:0;margin-top:0;width:548.1pt;height:91.35pt;rotation:315;z-index:-251655168;mso-position-horizontal:center;mso-position-horizontal-relative:margin;mso-position-vertical:center;mso-position-vertical-relative:margin" o:allowincell="f" fillcolor="#44546a [3215]"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70"/>
    <w:multiLevelType w:val="hybridMultilevel"/>
    <w:tmpl w:val="1BDAC3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D30232"/>
    <w:multiLevelType w:val="hybridMultilevel"/>
    <w:tmpl w:val="4790DF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land Giraud">
    <w15:presenceInfo w15:providerId="Windows Live" w15:userId="9e1e5eb06b939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ED"/>
    <w:rsid w:val="000006F4"/>
    <w:rsid w:val="00011F72"/>
    <w:rsid w:val="00030816"/>
    <w:rsid w:val="0008136F"/>
    <w:rsid w:val="000906D8"/>
    <w:rsid w:val="00090B1D"/>
    <w:rsid w:val="0009499A"/>
    <w:rsid w:val="000A7059"/>
    <w:rsid w:val="000C4368"/>
    <w:rsid w:val="000E7391"/>
    <w:rsid w:val="000F6790"/>
    <w:rsid w:val="00102ADD"/>
    <w:rsid w:val="00104BFC"/>
    <w:rsid w:val="0012247F"/>
    <w:rsid w:val="00130423"/>
    <w:rsid w:val="00163642"/>
    <w:rsid w:val="00172480"/>
    <w:rsid w:val="00175F94"/>
    <w:rsid w:val="001945C4"/>
    <w:rsid w:val="001973FA"/>
    <w:rsid w:val="00197BDD"/>
    <w:rsid w:val="001D4C5E"/>
    <w:rsid w:val="001F32F1"/>
    <w:rsid w:val="002059A8"/>
    <w:rsid w:val="002207BE"/>
    <w:rsid w:val="002556F8"/>
    <w:rsid w:val="00273FF6"/>
    <w:rsid w:val="002775C2"/>
    <w:rsid w:val="00291F2B"/>
    <w:rsid w:val="002B6FE8"/>
    <w:rsid w:val="002C344F"/>
    <w:rsid w:val="002D78E6"/>
    <w:rsid w:val="002E277B"/>
    <w:rsid w:val="00301ED9"/>
    <w:rsid w:val="0032274F"/>
    <w:rsid w:val="00332A82"/>
    <w:rsid w:val="003508B8"/>
    <w:rsid w:val="003F108B"/>
    <w:rsid w:val="00465EE8"/>
    <w:rsid w:val="00483544"/>
    <w:rsid w:val="00490FB1"/>
    <w:rsid w:val="00493A94"/>
    <w:rsid w:val="004A22A9"/>
    <w:rsid w:val="004D01C1"/>
    <w:rsid w:val="004D5DC5"/>
    <w:rsid w:val="004F44F8"/>
    <w:rsid w:val="00502E5E"/>
    <w:rsid w:val="00510FC6"/>
    <w:rsid w:val="00516589"/>
    <w:rsid w:val="005209E7"/>
    <w:rsid w:val="00522C97"/>
    <w:rsid w:val="00547132"/>
    <w:rsid w:val="005C6CF6"/>
    <w:rsid w:val="005D02EC"/>
    <w:rsid w:val="006018DA"/>
    <w:rsid w:val="006140FF"/>
    <w:rsid w:val="006319F2"/>
    <w:rsid w:val="00661C5B"/>
    <w:rsid w:val="00692B44"/>
    <w:rsid w:val="006C2BB7"/>
    <w:rsid w:val="006C35F4"/>
    <w:rsid w:val="006F2ED9"/>
    <w:rsid w:val="00700649"/>
    <w:rsid w:val="00714056"/>
    <w:rsid w:val="00723F7A"/>
    <w:rsid w:val="007264D8"/>
    <w:rsid w:val="0079361A"/>
    <w:rsid w:val="007B1FD6"/>
    <w:rsid w:val="007B39E6"/>
    <w:rsid w:val="007F38C2"/>
    <w:rsid w:val="00825745"/>
    <w:rsid w:val="008570AA"/>
    <w:rsid w:val="008709AC"/>
    <w:rsid w:val="008809B1"/>
    <w:rsid w:val="00883EAE"/>
    <w:rsid w:val="008850DE"/>
    <w:rsid w:val="008A061E"/>
    <w:rsid w:val="008A0FCF"/>
    <w:rsid w:val="008D422E"/>
    <w:rsid w:val="008F3079"/>
    <w:rsid w:val="0090452B"/>
    <w:rsid w:val="00966DC6"/>
    <w:rsid w:val="009740F0"/>
    <w:rsid w:val="00981F7D"/>
    <w:rsid w:val="009B1FDA"/>
    <w:rsid w:val="009F1207"/>
    <w:rsid w:val="009F5F6D"/>
    <w:rsid w:val="009F78FB"/>
    <w:rsid w:val="00A24E5B"/>
    <w:rsid w:val="00A3010A"/>
    <w:rsid w:val="00A74808"/>
    <w:rsid w:val="00A9739F"/>
    <w:rsid w:val="00AA534E"/>
    <w:rsid w:val="00AB2A5A"/>
    <w:rsid w:val="00AD1731"/>
    <w:rsid w:val="00B05284"/>
    <w:rsid w:val="00B419BA"/>
    <w:rsid w:val="00B7633A"/>
    <w:rsid w:val="00B87319"/>
    <w:rsid w:val="00BB19EB"/>
    <w:rsid w:val="00BE3934"/>
    <w:rsid w:val="00C06204"/>
    <w:rsid w:val="00C27754"/>
    <w:rsid w:val="00CB1291"/>
    <w:rsid w:val="00CD76BA"/>
    <w:rsid w:val="00CE6ACD"/>
    <w:rsid w:val="00D40211"/>
    <w:rsid w:val="00D43AA3"/>
    <w:rsid w:val="00D65C66"/>
    <w:rsid w:val="00D76F1F"/>
    <w:rsid w:val="00DA021F"/>
    <w:rsid w:val="00DB6296"/>
    <w:rsid w:val="00DC5FA6"/>
    <w:rsid w:val="00DE2CDD"/>
    <w:rsid w:val="00E341A6"/>
    <w:rsid w:val="00E45ABD"/>
    <w:rsid w:val="00E641D0"/>
    <w:rsid w:val="00E71386"/>
    <w:rsid w:val="00E73015"/>
    <w:rsid w:val="00E8712D"/>
    <w:rsid w:val="00E90878"/>
    <w:rsid w:val="00E92A4F"/>
    <w:rsid w:val="00EC2E61"/>
    <w:rsid w:val="00EC54ED"/>
    <w:rsid w:val="00EE0AC2"/>
    <w:rsid w:val="00F17824"/>
    <w:rsid w:val="00F84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0E7B"/>
  <w15:chartTrackingRefBased/>
  <w15:docId w15:val="{5719B457-5CFD-4616-BCC9-F4D45AFC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ED"/>
    <w:pPr>
      <w:ind w:left="720"/>
      <w:contextualSpacing/>
    </w:pPr>
  </w:style>
  <w:style w:type="paragraph" w:styleId="Notedebasdepage">
    <w:name w:val="footnote text"/>
    <w:basedOn w:val="Normal"/>
    <w:link w:val="NotedebasdepageCar"/>
    <w:uiPriority w:val="99"/>
    <w:semiHidden/>
    <w:unhideWhenUsed/>
    <w:rsid w:val="00490F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0FB1"/>
    <w:rPr>
      <w:sz w:val="20"/>
      <w:szCs w:val="20"/>
    </w:rPr>
  </w:style>
  <w:style w:type="character" w:styleId="Appelnotedebasdep">
    <w:name w:val="footnote reference"/>
    <w:basedOn w:val="Policepardfaut"/>
    <w:uiPriority w:val="99"/>
    <w:semiHidden/>
    <w:unhideWhenUsed/>
    <w:rsid w:val="00490FB1"/>
    <w:rPr>
      <w:vertAlign w:val="superscript"/>
    </w:rPr>
  </w:style>
  <w:style w:type="character" w:styleId="Lienhypertexte">
    <w:name w:val="Hyperlink"/>
    <w:basedOn w:val="Policepardfaut"/>
    <w:uiPriority w:val="99"/>
    <w:unhideWhenUsed/>
    <w:rsid w:val="00490FB1"/>
    <w:rPr>
      <w:color w:val="0563C1" w:themeColor="hyperlink"/>
      <w:u w:val="single"/>
    </w:rPr>
  </w:style>
  <w:style w:type="paragraph" w:styleId="En-tte">
    <w:name w:val="header"/>
    <w:basedOn w:val="Normal"/>
    <w:link w:val="En-tteCar"/>
    <w:uiPriority w:val="99"/>
    <w:unhideWhenUsed/>
    <w:rsid w:val="002C344F"/>
    <w:pPr>
      <w:tabs>
        <w:tab w:val="center" w:pos="4536"/>
        <w:tab w:val="right" w:pos="9072"/>
      </w:tabs>
      <w:spacing w:after="0" w:line="240" w:lineRule="auto"/>
    </w:pPr>
  </w:style>
  <w:style w:type="character" w:customStyle="1" w:styleId="En-tteCar">
    <w:name w:val="En-tête Car"/>
    <w:basedOn w:val="Policepardfaut"/>
    <w:link w:val="En-tte"/>
    <w:uiPriority w:val="99"/>
    <w:rsid w:val="002C344F"/>
  </w:style>
  <w:style w:type="paragraph" w:styleId="Pieddepage">
    <w:name w:val="footer"/>
    <w:basedOn w:val="Normal"/>
    <w:link w:val="PieddepageCar"/>
    <w:uiPriority w:val="99"/>
    <w:unhideWhenUsed/>
    <w:rsid w:val="002C34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44F"/>
  </w:style>
  <w:style w:type="character" w:styleId="Marquedecommentaire">
    <w:name w:val="annotation reference"/>
    <w:basedOn w:val="Policepardfaut"/>
    <w:uiPriority w:val="99"/>
    <w:semiHidden/>
    <w:unhideWhenUsed/>
    <w:rsid w:val="00BE3934"/>
    <w:rPr>
      <w:sz w:val="16"/>
      <w:szCs w:val="16"/>
    </w:rPr>
  </w:style>
  <w:style w:type="paragraph" w:styleId="Commentaire">
    <w:name w:val="annotation text"/>
    <w:basedOn w:val="Normal"/>
    <w:link w:val="CommentaireCar"/>
    <w:uiPriority w:val="99"/>
    <w:unhideWhenUsed/>
    <w:rsid w:val="00BE3934"/>
    <w:pPr>
      <w:spacing w:line="240" w:lineRule="auto"/>
    </w:pPr>
    <w:rPr>
      <w:sz w:val="20"/>
      <w:szCs w:val="20"/>
    </w:rPr>
  </w:style>
  <w:style w:type="character" w:customStyle="1" w:styleId="CommentaireCar">
    <w:name w:val="Commentaire Car"/>
    <w:basedOn w:val="Policepardfaut"/>
    <w:link w:val="Commentaire"/>
    <w:uiPriority w:val="99"/>
    <w:rsid w:val="00BE3934"/>
    <w:rPr>
      <w:sz w:val="20"/>
      <w:szCs w:val="20"/>
    </w:rPr>
  </w:style>
  <w:style w:type="paragraph" w:styleId="Objetducommentaire">
    <w:name w:val="annotation subject"/>
    <w:basedOn w:val="Commentaire"/>
    <w:next w:val="Commentaire"/>
    <w:link w:val="ObjetducommentaireCar"/>
    <w:uiPriority w:val="99"/>
    <w:semiHidden/>
    <w:unhideWhenUsed/>
    <w:rsid w:val="00BE3934"/>
    <w:rPr>
      <w:b/>
      <w:bCs/>
    </w:rPr>
  </w:style>
  <w:style w:type="character" w:customStyle="1" w:styleId="ObjetducommentaireCar">
    <w:name w:val="Objet du commentaire Car"/>
    <w:basedOn w:val="CommentaireCar"/>
    <w:link w:val="Objetducommentaire"/>
    <w:uiPriority w:val="99"/>
    <w:semiHidden/>
    <w:rsid w:val="00BE3934"/>
    <w:rPr>
      <w:b/>
      <w:bCs/>
      <w:sz w:val="20"/>
      <w:szCs w:val="20"/>
    </w:rPr>
  </w:style>
  <w:style w:type="paragraph" w:styleId="Textedebulles">
    <w:name w:val="Balloon Text"/>
    <w:basedOn w:val="Normal"/>
    <w:link w:val="TextedebullesCar"/>
    <w:uiPriority w:val="99"/>
    <w:semiHidden/>
    <w:unhideWhenUsed/>
    <w:rsid w:val="008809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9B1"/>
    <w:rPr>
      <w:rFonts w:ascii="Segoe UI" w:hAnsi="Segoe UI" w:cs="Segoe UI"/>
      <w:sz w:val="18"/>
      <w:szCs w:val="18"/>
    </w:rPr>
  </w:style>
  <w:style w:type="character" w:styleId="Mentionnonrsolue">
    <w:name w:val="Unresolved Mention"/>
    <w:basedOn w:val="Policepardfaut"/>
    <w:uiPriority w:val="99"/>
    <w:semiHidden/>
    <w:unhideWhenUsed/>
    <w:rsid w:val="00A2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948">
      <w:bodyDiv w:val="1"/>
      <w:marLeft w:val="0"/>
      <w:marRight w:val="0"/>
      <w:marTop w:val="0"/>
      <w:marBottom w:val="0"/>
      <w:divBdr>
        <w:top w:val="none" w:sz="0" w:space="0" w:color="auto"/>
        <w:left w:val="none" w:sz="0" w:space="0" w:color="auto"/>
        <w:bottom w:val="none" w:sz="0" w:space="0" w:color="auto"/>
        <w:right w:val="none" w:sz="0" w:space="0" w:color="auto"/>
      </w:divBdr>
    </w:div>
    <w:div w:id="548147083">
      <w:bodyDiv w:val="1"/>
      <w:marLeft w:val="0"/>
      <w:marRight w:val="0"/>
      <w:marTop w:val="0"/>
      <w:marBottom w:val="0"/>
      <w:divBdr>
        <w:top w:val="none" w:sz="0" w:space="0" w:color="auto"/>
        <w:left w:val="none" w:sz="0" w:space="0" w:color="auto"/>
        <w:bottom w:val="none" w:sz="0" w:space="0" w:color="auto"/>
        <w:right w:val="none" w:sz="0" w:space="0" w:color="auto"/>
      </w:divBdr>
    </w:div>
    <w:div w:id="1763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dass.fr"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ndass.fr/manifeste-pour-une-action-publique-sobre-et-de-qualite/" TargetMode="External"/><Relationship Id="rId2" Type="http://schemas.openxmlformats.org/officeDocument/2006/relationships/hyperlink" Target="https://www.conseil-etat.fr/ressources/etudes-publications/rapports-etudes/etudes/conditions-de-ressources-dans-les-politiques-sociales-15-propositions-pour-simplifier-et-harmoniser-leur-prise-en-compte" TargetMode="External"/><Relationship Id="rId1" Type="http://schemas.openxmlformats.org/officeDocument/2006/relationships/hyperlink" Target="https://www.strategie.gouv.fr/publications/lutte-contre-pauvrete-temps-coronavirus-constats-effets-de-crise-pauvrete-points-de" TargetMode="External"/><Relationship Id="rId6" Type="http://schemas.openxmlformats.org/officeDocument/2006/relationships/hyperlink" Target="https://www.strategie.gouv.fr/publications/cartographie-competences-metiers" TargetMode="External"/><Relationship Id="rId5" Type="http://schemas.openxmlformats.org/officeDocument/2006/relationships/hyperlink" Target="https://www.telos-eu.com/fr/societe/europe-sociale-et-si-on-soccupait-des-sans-abri.html" TargetMode="External"/><Relationship Id="rId4" Type="http://schemas.openxmlformats.org/officeDocument/2006/relationships/hyperlink" Target="https://www.lemediasocial.fr/handicap-un-collectif-pour-deployer-l-assistance-au-projet-de-vie_UFC3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28E6-EC16-4432-B628-499CA1866B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Arnaud - PSOL/DST</dc:creator>
  <cp:keywords/>
  <dc:description/>
  <cp:lastModifiedBy>Roland Giraud</cp:lastModifiedBy>
  <cp:revision>2</cp:revision>
  <dcterms:created xsi:type="dcterms:W3CDTF">2022-03-22T11:51:00Z</dcterms:created>
  <dcterms:modified xsi:type="dcterms:W3CDTF">2022-03-22T11:51:00Z</dcterms:modified>
</cp:coreProperties>
</file>